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B32E" w14:textId="6634C0A2" w:rsidR="00B6679B" w:rsidRPr="00B6679B" w:rsidRDefault="00B6679B" w:rsidP="00B6679B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 w:rsidRPr="00B6679B">
        <w:rPr>
          <w:sz w:val="26"/>
          <w:szCs w:val="26"/>
        </w:rPr>
        <w:t>Datos a favor de un mejor curso de la enfermedad por SARS-CoV2 en las mujeres. Hechos y perspectivas</w:t>
      </w:r>
    </w:p>
    <w:p w14:paraId="4CA43E76" w14:textId="77777777" w:rsidR="00B6679B" w:rsidRDefault="00B6679B" w:rsidP="00594934">
      <w:pPr>
        <w:spacing w:after="0" w:line="240" w:lineRule="auto"/>
        <w:jc w:val="both"/>
      </w:pPr>
    </w:p>
    <w:p w14:paraId="76A378A9" w14:textId="221C6331" w:rsidR="00594934" w:rsidRDefault="00A94FCF" w:rsidP="00594934">
      <w:pPr>
        <w:spacing w:after="0" w:line="240" w:lineRule="auto"/>
        <w:jc w:val="both"/>
      </w:pPr>
      <w:r>
        <w:t xml:space="preserve">Ya en los </w:t>
      </w:r>
      <w:r w:rsidR="00080A4D">
        <w:t xml:space="preserve">inicios </w:t>
      </w:r>
      <w:r>
        <w:t xml:space="preserve">de la pandemia </w:t>
      </w:r>
      <w:r w:rsidR="0042312B">
        <w:t>e</w:t>
      </w:r>
      <w:r w:rsidR="00594934">
        <w:t xml:space="preserve">l Centro Chino para el Control y la Prevención de Enfermedades </w:t>
      </w:r>
      <w:r>
        <w:t xml:space="preserve">había </w:t>
      </w:r>
      <w:r w:rsidR="00594934">
        <w:t>inform</w:t>
      </w:r>
      <w:r>
        <w:t xml:space="preserve">ado que </w:t>
      </w:r>
      <w:r w:rsidR="00594934">
        <w:t xml:space="preserve">la proporción de infecciones por COVID-19 entre hombres y mujeres </w:t>
      </w:r>
      <w:r>
        <w:t xml:space="preserve">era </w:t>
      </w:r>
      <w:r w:rsidR="00594934">
        <w:t xml:space="preserve">2.7: 1, </w:t>
      </w:r>
      <w:r>
        <w:t xml:space="preserve">mientras que la </w:t>
      </w:r>
      <w:r w:rsidR="00594934">
        <w:t>Tasa de Casos Fatales (</w:t>
      </w:r>
      <w:r>
        <w:t>T</w:t>
      </w:r>
      <w:r w:rsidR="00594934">
        <w:t xml:space="preserve">CF) </w:t>
      </w:r>
      <w:r w:rsidR="00080A4D">
        <w:t>a partir de una indagación e</w:t>
      </w:r>
      <w:r w:rsidR="00BE4EDC">
        <w:t>n</w:t>
      </w:r>
      <w:r w:rsidR="00080A4D">
        <w:t xml:space="preserve"> 72.314 pacientes </w:t>
      </w:r>
      <w:r>
        <w:t xml:space="preserve">arrojaba </w:t>
      </w:r>
      <w:r w:rsidR="00080A4D">
        <w:t>valores igualmente superiores</w:t>
      </w:r>
      <w:r w:rsidR="0042312B">
        <w:t xml:space="preserve">: </w:t>
      </w:r>
      <w:r w:rsidR="00594934">
        <w:t xml:space="preserve">2.8% </w:t>
      </w:r>
      <w:r w:rsidR="00080A4D">
        <w:t xml:space="preserve">y 1.7% para los </w:t>
      </w:r>
      <w:r w:rsidR="00594934">
        <w:t xml:space="preserve">hombres </w:t>
      </w:r>
      <w:r>
        <w:t xml:space="preserve">y </w:t>
      </w:r>
      <w:r w:rsidR="00080A4D">
        <w:t xml:space="preserve">las </w:t>
      </w:r>
      <w:r w:rsidR="00594934">
        <w:t>mujeres,</w:t>
      </w:r>
      <w:r w:rsidR="00080A4D">
        <w:t xml:space="preserve"> respectivamente</w:t>
      </w:r>
      <w:r w:rsidR="00594934">
        <w:t xml:space="preserve">. </w:t>
      </w:r>
      <w:r w:rsidR="00080A4D">
        <w:t>En esa misma tesitura, e</w:t>
      </w:r>
      <w:r w:rsidR="00594934">
        <w:t>studios epidemiológicos e</w:t>
      </w:r>
      <w:r w:rsidR="00080A4D">
        <w:t>n</w:t>
      </w:r>
      <w:r w:rsidR="00594934">
        <w:t xml:space="preserve"> 38 países informaron </w:t>
      </w:r>
      <w:r>
        <w:t xml:space="preserve">que la media </w:t>
      </w:r>
      <w:r w:rsidR="0042312B">
        <w:t xml:space="preserve">para la </w:t>
      </w:r>
      <w:r>
        <w:t>T</w:t>
      </w:r>
      <w:r w:rsidR="00594934">
        <w:t xml:space="preserve">CF en hombres </w:t>
      </w:r>
      <w:r>
        <w:t xml:space="preserve">era </w:t>
      </w:r>
      <w:r w:rsidR="00594934">
        <w:t>1</w:t>
      </w:r>
      <w:r>
        <w:t>.</w:t>
      </w:r>
      <w:r w:rsidR="00594934">
        <w:t xml:space="preserve">7 </w:t>
      </w:r>
      <w:r w:rsidR="00080A4D">
        <w:t xml:space="preserve">veces </w:t>
      </w:r>
      <w:r>
        <w:t xml:space="preserve">superior </w:t>
      </w:r>
      <w:r w:rsidR="00080A4D">
        <w:t xml:space="preserve">respecto </w:t>
      </w:r>
      <w:r>
        <w:t>de las</w:t>
      </w:r>
      <w:r w:rsidR="00594934">
        <w:t xml:space="preserve"> mujeres, siendo la edad avanzada un factor de riesgo </w:t>
      </w:r>
      <w:r w:rsidR="0042312B">
        <w:t xml:space="preserve">para </w:t>
      </w:r>
      <w:r w:rsidR="00594934">
        <w:t xml:space="preserve">mortalidad </w:t>
      </w:r>
      <w:r w:rsidR="0042312B">
        <w:t>en</w:t>
      </w:r>
      <w:r w:rsidR="00080A4D">
        <w:t xml:space="preserve"> </w:t>
      </w:r>
      <w:r w:rsidR="00594934">
        <w:t xml:space="preserve">ambos </w:t>
      </w:r>
      <w:r w:rsidR="0042312B">
        <w:t>grupo</w:t>
      </w:r>
      <w:r w:rsidR="00594934">
        <w:t xml:space="preserve">s. </w:t>
      </w:r>
      <w:r>
        <w:t xml:space="preserve">En el escenario </w:t>
      </w:r>
      <w:r w:rsidR="00594934">
        <w:t>europeo</w:t>
      </w:r>
      <w:r>
        <w:t xml:space="preserve"> también se observó una mayor </w:t>
      </w:r>
      <w:r w:rsidR="00F134F7">
        <w:t>TCF</w:t>
      </w:r>
      <w:r>
        <w:t xml:space="preserve"> </w:t>
      </w:r>
      <w:r w:rsidR="00594934">
        <w:t xml:space="preserve">en hombres por encima de 20 años, </w:t>
      </w:r>
      <w:r>
        <w:t xml:space="preserve">en tanto que </w:t>
      </w:r>
      <w:r w:rsidR="00F134F7">
        <w:t xml:space="preserve">otro </w:t>
      </w:r>
      <w:r w:rsidR="00594934">
        <w:t xml:space="preserve">estudio de cohorte </w:t>
      </w:r>
      <w:r w:rsidR="00F134F7">
        <w:t xml:space="preserve">realizado en Inglaterra </w:t>
      </w:r>
      <w:r w:rsidR="00594934">
        <w:t xml:space="preserve">en el que participaron 17 millones de </w:t>
      </w:r>
      <w:r w:rsidR="00F134F7">
        <w:t xml:space="preserve">individuos </w:t>
      </w:r>
      <w:r w:rsidR="00594934">
        <w:t xml:space="preserve">adultos </w:t>
      </w:r>
      <w:r>
        <w:t xml:space="preserve">señalaba </w:t>
      </w:r>
      <w:r w:rsidR="00594934">
        <w:t xml:space="preserve">una correlación significativa entre hombres y riesgo de mortalidad asociada a COVID-19. </w:t>
      </w:r>
      <w:r w:rsidR="0042312B">
        <w:t>Tomados en su conjunto</w:t>
      </w:r>
      <w:r w:rsidR="00594934">
        <w:t xml:space="preserve">, la evidencia epidemiológica </w:t>
      </w:r>
      <w:r w:rsidR="00F134F7">
        <w:t xml:space="preserve">apunta a </w:t>
      </w:r>
      <w:r w:rsidR="00594934">
        <w:t xml:space="preserve">un sesgo </w:t>
      </w:r>
      <w:r w:rsidR="00F134F7">
        <w:t>masculin</w:t>
      </w:r>
      <w:r w:rsidR="0042312B">
        <w:t xml:space="preserve">izado </w:t>
      </w:r>
      <w:r w:rsidR="00F134F7">
        <w:t>en el sentido de</w:t>
      </w:r>
      <w:r w:rsidR="00594934">
        <w:t xml:space="preserve"> una mayor susceptibilidad tanto a la infección por SARS-CoV-2 como a</w:t>
      </w:r>
      <w:r w:rsidR="00F134F7">
        <w:t xml:space="preserve"> </w:t>
      </w:r>
      <w:r w:rsidR="00BE4EDC">
        <w:t xml:space="preserve">su </w:t>
      </w:r>
      <w:r w:rsidR="00F134F7">
        <w:t xml:space="preserve">peor </w:t>
      </w:r>
      <w:r w:rsidR="00594934">
        <w:t>desenlace.</w:t>
      </w:r>
    </w:p>
    <w:p w14:paraId="31ADFE80" w14:textId="12E644CF" w:rsidR="00841134" w:rsidRDefault="00A94FCF" w:rsidP="00594934">
      <w:pPr>
        <w:spacing w:after="0" w:line="240" w:lineRule="auto"/>
        <w:jc w:val="both"/>
      </w:pPr>
      <w:r>
        <w:t xml:space="preserve">Esta disparidad por la cual </w:t>
      </w:r>
      <w:r w:rsidR="00900AFB">
        <w:t xml:space="preserve">las mujeres tienen una menor </w:t>
      </w:r>
      <w:r w:rsidR="00841134">
        <w:t xml:space="preserve">tasa de </w:t>
      </w:r>
      <w:r w:rsidR="00900AFB">
        <w:t>infección</w:t>
      </w:r>
      <w:r w:rsidR="00841134">
        <w:t>/</w:t>
      </w:r>
      <w:r w:rsidR="00900AFB">
        <w:t xml:space="preserve">hospitalización, </w:t>
      </w:r>
      <w:r w:rsidR="00841134">
        <w:t xml:space="preserve">sumado a </w:t>
      </w:r>
      <w:r w:rsidR="00900AFB">
        <w:t xml:space="preserve">un mejor pronóstico y </w:t>
      </w:r>
      <w:r w:rsidR="00841134">
        <w:t xml:space="preserve">curso </w:t>
      </w:r>
      <w:r w:rsidR="0042312B">
        <w:t>más benévolo</w:t>
      </w:r>
      <w:r w:rsidR="00841134">
        <w:t xml:space="preserve"> </w:t>
      </w:r>
      <w:r>
        <w:t>puede deberse a</w:t>
      </w:r>
      <w:r w:rsidR="00900AFB">
        <w:t xml:space="preserve"> varios mecanismos </w:t>
      </w:r>
      <w:r w:rsidR="00841134">
        <w:t xml:space="preserve">entre los </w:t>
      </w:r>
      <w:r>
        <w:t xml:space="preserve">cuales </w:t>
      </w:r>
      <w:r w:rsidR="00841134">
        <w:t xml:space="preserve">se </w:t>
      </w:r>
      <w:r w:rsidR="00900AFB">
        <w:t xml:space="preserve">incluyen diferencias en las respuestas inmunes innatas y adaptativas, </w:t>
      </w:r>
      <w:r w:rsidR="00841134">
        <w:t xml:space="preserve">surgidas por una distinta </w:t>
      </w:r>
      <w:r w:rsidR="0042312B">
        <w:t xml:space="preserve">operatividad </w:t>
      </w:r>
      <w:r w:rsidR="00841134">
        <w:t xml:space="preserve">de los mecanismos que regulan estos procesos, </w:t>
      </w:r>
      <w:r w:rsidR="00900AFB">
        <w:t xml:space="preserve">factores genéticos y </w:t>
      </w:r>
      <w:r w:rsidR="00841134">
        <w:t>l</w:t>
      </w:r>
      <w:r w:rsidR="00900AFB">
        <w:t>a interacción entre el sexo</w:t>
      </w:r>
      <w:r w:rsidR="00841134">
        <w:t>,</w:t>
      </w:r>
      <w:r w:rsidR="00900AFB">
        <w:t xml:space="preserve"> hormonas </w:t>
      </w:r>
      <w:r>
        <w:t xml:space="preserve">e inmunidad </w:t>
      </w:r>
      <w:r w:rsidR="00900AFB">
        <w:t>efector</w:t>
      </w:r>
      <w:r>
        <w:t>a</w:t>
      </w:r>
      <w:r w:rsidR="00900AFB">
        <w:t xml:space="preserve">, así como diferencias </w:t>
      </w:r>
      <w:r w:rsidR="00841134">
        <w:t xml:space="preserve">relacionadas con </w:t>
      </w:r>
      <w:r>
        <w:t>conductas</w:t>
      </w:r>
      <w:r w:rsidR="00841134">
        <w:t>/costumbres</w:t>
      </w:r>
      <w:r w:rsidR="0042312B">
        <w:t xml:space="preserve"> </w:t>
      </w:r>
      <w:r w:rsidR="00900AFB">
        <w:t xml:space="preserve">específicas de género. </w:t>
      </w:r>
    </w:p>
    <w:p w14:paraId="1D256610" w14:textId="01683874" w:rsidR="00B6679B" w:rsidRDefault="00841134" w:rsidP="00594934">
      <w:pPr>
        <w:spacing w:after="0" w:line="240" w:lineRule="auto"/>
        <w:jc w:val="both"/>
      </w:pPr>
      <w:r>
        <w:t xml:space="preserve">Va de suyo que </w:t>
      </w:r>
      <w:r w:rsidR="00B6679B">
        <w:t>los contrastes ligados al sexo también se hacen</w:t>
      </w:r>
      <w:r w:rsidR="00A94FCF">
        <w:t xml:space="preserve"> extensible</w:t>
      </w:r>
      <w:r w:rsidR="00684DDC">
        <w:t>s</w:t>
      </w:r>
      <w:r w:rsidR="00A94FCF">
        <w:t xml:space="preserve"> </w:t>
      </w:r>
      <w:r w:rsidR="00B6679B">
        <w:t>a</w:t>
      </w:r>
      <w:r w:rsidR="00900AFB">
        <w:t xml:space="preserve"> la respuesta </w:t>
      </w:r>
      <w:r>
        <w:t xml:space="preserve">defensiva </w:t>
      </w:r>
      <w:r w:rsidR="0042312B">
        <w:t xml:space="preserve">hacia </w:t>
      </w:r>
      <w:r w:rsidR="00A94FCF">
        <w:t xml:space="preserve">otras infecciones </w:t>
      </w:r>
      <w:r w:rsidR="00900AFB">
        <w:t xml:space="preserve">y </w:t>
      </w:r>
      <w:r>
        <w:t xml:space="preserve">asimismo </w:t>
      </w:r>
      <w:r w:rsidR="00684DDC">
        <w:t>a</w:t>
      </w:r>
      <w:r>
        <w:t xml:space="preserve"> </w:t>
      </w:r>
      <w:r w:rsidR="00900AFB">
        <w:t xml:space="preserve">enfermedades inflamatorias. </w:t>
      </w:r>
    </w:p>
    <w:p w14:paraId="73E743B0" w14:textId="0B255E1D" w:rsidR="00841134" w:rsidRDefault="00B6679B" w:rsidP="00841134">
      <w:pPr>
        <w:spacing w:after="0" w:line="240" w:lineRule="auto"/>
        <w:jc w:val="both"/>
      </w:pPr>
      <w:r>
        <w:t xml:space="preserve">Es necesario profundizar nuestro conocimiento respecto a los mecanismos que subyacen en esta </w:t>
      </w:r>
      <w:r w:rsidR="00900AFB">
        <w:t>ventaja protectora</w:t>
      </w:r>
      <w:r w:rsidR="00594934">
        <w:t xml:space="preserve"> </w:t>
      </w:r>
      <w:r w:rsidR="0042312B">
        <w:t xml:space="preserve">de </w:t>
      </w:r>
      <w:r w:rsidR="00900AFB">
        <w:t xml:space="preserve">las mujeres </w:t>
      </w:r>
      <w:r>
        <w:t xml:space="preserve">hacia </w:t>
      </w:r>
      <w:r w:rsidR="00900AFB">
        <w:t>COVID-19</w:t>
      </w:r>
      <w:r>
        <w:t xml:space="preserve"> (</w:t>
      </w:r>
      <w:r w:rsidR="00900AFB">
        <w:t xml:space="preserve">cargas virales más bajas, menor inflamación, </w:t>
      </w:r>
      <w:r>
        <w:t xml:space="preserve">y un curso clínico más favorable), puesto que dicha información no sólo tiene un valor intrínseco, sino que </w:t>
      </w:r>
      <w:r w:rsidR="0042312B">
        <w:t xml:space="preserve">puede ser </w:t>
      </w:r>
      <w:r>
        <w:t xml:space="preserve">la base de sustentación para pergeñar el desarrollo de alguna estrategia </w:t>
      </w:r>
      <w:r w:rsidR="00841134">
        <w:t>terapéutica</w:t>
      </w:r>
      <w:r>
        <w:t xml:space="preserve"> orientada</w:t>
      </w:r>
      <w:r w:rsidR="00841134">
        <w:t xml:space="preserve"> </w:t>
      </w:r>
      <w:r>
        <w:t>promover una evolución menos tórpida de</w:t>
      </w:r>
      <w:r w:rsidR="00841134">
        <w:t xml:space="preserve"> COVID-19.</w:t>
      </w:r>
    </w:p>
    <w:p w14:paraId="7865C945" w14:textId="77777777" w:rsidR="00841134" w:rsidRDefault="00841134" w:rsidP="00594934">
      <w:pPr>
        <w:spacing w:after="0" w:line="240" w:lineRule="auto"/>
        <w:jc w:val="both"/>
      </w:pPr>
    </w:p>
    <w:p w14:paraId="5747DF73" w14:textId="0A5F6BF6" w:rsidR="00A94FCF" w:rsidRPr="00841134" w:rsidRDefault="00841134" w:rsidP="00594934">
      <w:pPr>
        <w:spacing w:after="0" w:line="240" w:lineRule="auto"/>
        <w:jc w:val="both"/>
        <w:rPr>
          <w:b/>
          <w:bCs/>
        </w:rPr>
      </w:pPr>
      <w:r w:rsidRPr="00841134">
        <w:rPr>
          <w:b/>
          <w:bCs/>
        </w:rPr>
        <w:t>Referencias</w:t>
      </w:r>
    </w:p>
    <w:p w14:paraId="56213F95" w14:textId="3D9F6D90" w:rsidR="005201DD" w:rsidRDefault="005201DD" w:rsidP="005201DD">
      <w:pPr>
        <w:spacing w:after="0" w:line="240" w:lineRule="auto"/>
        <w:jc w:val="both"/>
        <w:rPr>
          <w:lang w:val="it-IT"/>
        </w:rPr>
      </w:pPr>
      <w:r w:rsidRPr="00684DDC">
        <w:t>Chen J, et al (2020)</w:t>
      </w:r>
      <w:r w:rsidR="00B6679B" w:rsidRPr="00684DDC">
        <w:t>.</w:t>
      </w:r>
      <w:r w:rsidRPr="00684DDC">
        <w:t xml:space="preserve"> </w:t>
      </w:r>
      <w:r w:rsidRPr="005201DD">
        <w:rPr>
          <w:lang w:val="en-US"/>
        </w:rPr>
        <w:t>Clinical progression of patients</w:t>
      </w:r>
      <w:r>
        <w:rPr>
          <w:lang w:val="en-US"/>
        </w:rPr>
        <w:t xml:space="preserve"> </w:t>
      </w:r>
      <w:r w:rsidRPr="005201DD">
        <w:rPr>
          <w:lang w:val="en-US"/>
        </w:rPr>
        <w:t xml:space="preserve">with COVID-19 in Shanghai, China. </w:t>
      </w:r>
      <w:r w:rsidRPr="00B6679B">
        <w:rPr>
          <w:lang w:val="it-IT"/>
        </w:rPr>
        <w:t xml:space="preserve">J Infect 80: e1–e6. </w:t>
      </w:r>
      <w:hyperlink r:id="rId4" w:history="1">
        <w:r w:rsidR="00C74DF0" w:rsidRPr="00E5407F">
          <w:rPr>
            <w:rStyle w:val="Hipervnculo"/>
            <w:lang w:val="it-IT"/>
          </w:rPr>
          <w:t>https://doi.org/10.1016/j.jinf.2020.03.004</w:t>
        </w:r>
      </w:hyperlink>
    </w:p>
    <w:p w14:paraId="27C387C2" w14:textId="01420FAD" w:rsidR="00A94FCF" w:rsidRDefault="00A94FCF" w:rsidP="00A94FCF">
      <w:pPr>
        <w:spacing w:after="0" w:line="240" w:lineRule="auto"/>
        <w:jc w:val="both"/>
        <w:rPr>
          <w:lang w:val="en-US"/>
        </w:rPr>
      </w:pPr>
      <w:r w:rsidRPr="00B6679B">
        <w:rPr>
          <w:lang w:val="it-IT"/>
        </w:rPr>
        <w:t>Xie J, et al (2020)</w:t>
      </w:r>
      <w:r w:rsidR="00B6679B" w:rsidRPr="00B6679B">
        <w:rPr>
          <w:lang w:val="it-IT"/>
        </w:rPr>
        <w:t>.</w:t>
      </w:r>
      <w:r w:rsidRPr="00B6679B">
        <w:rPr>
          <w:lang w:val="it-IT"/>
        </w:rPr>
        <w:t xml:space="preserve"> </w:t>
      </w:r>
      <w:r w:rsidRPr="00A94FCF">
        <w:rPr>
          <w:lang w:val="en-US"/>
        </w:rPr>
        <w:t>Clinical characteristics of</w:t>
      </w:r>
      <w:r>
        <w:rPr>
          <w:lang w:val="en-US"/>
        </w:rPr>
        <w:t xml:space="preserve"> </w:t>
      </w:r>
      <w:r w:rsidRPr="00A94FCF">
        <w:rPr>
          <w:lang w:val="en-US"/>
        </w:rPr>
        <w:t>patients who died of Coronavirus disease 2019 in China. JAMA</w:t>
      </w:r>
      <w:r>
        <w:rPr>
          <w:lang w:val="en-US"/>
        </w:rPr>
        <w:t xml:space="preserve"> </w:t>
      </w:r>
      <w:r w:rsidRPr="00A94FCF">
        <w:rPr>
          <w:lang w:val="en-US"/>
        </w:rPr>
        <w:t xml:space="preserve">Netw Open. </w:t>
      </w:r>
      <w:r w:rsidR="00E27333" w:rsidRPr="00E27333">
        <w:rPr>
          <w:lang w:val="en-US"/>
        </w:rPr>
        <w:t xml:space="preserve">3(4):e205619. </w:t>
      </w:r>
      <w:r w:rsidR="00E27333">
        <w:rPr>
          <w:lang w:val="en-US"/>
        </w:rPr>
        <w:t xml:space="preserve"> </w:t>
      </w:r>
      <w:hyperlink r:id="rId5" w:history="1">
        <w:r w:rsidR="00C74DF0" w:rsidRPr="00E5407F">
          <w:rPr>
            <w:rStyle w:val="Hipervnculo"/>
            <w:lang w:val="en-US"/>
          </w:rPr>
          <w:t>https://doi.org/10.1001/jamanetworkopen.2020.5619</w:t>
        </w:r>
      </w:hyperlink>
    </w:p>
    <w:p w14:paraId="6682FD13" w14:textId="26FC5743" w:rsidR="00A94FCF" w:rsidRDefault="00A94FCF" w:rsidP="00A94FCF">
      <w:pPr>
        <w:spacing w:after="0" w:line="240" w:lineRule="auto"/>
        <w:jc w:val="both"/>
        <w:rPr>
          <w:lang w:val="en-US"/>
        </w:rPr>
      </w:pPr>
      <w:r w:rsidRPr="00A94FCF">
        <w:rPr>
          <w:lang w:val="en-US"/>
        </w:rPr>
        <w:t>Scully EP, et al (2020)</w:t>
      </w:r>
      <w:r w:rsidR="00B6679B">
        <w:rPr>
          <w:lang w:val="en-US"/>
        </w:rPr>
        <w:t>.</w:t>
      </w:r>
      <w:r w:rsidRPr="00A94FCF">
        <w:rPr>
          <w:lang w:val="en-US"/>
        </w:rPr>
        <w:t xml:space="preserve"> Considering how</w:t>
      </w:r>
      <w:r w:rsidR="005201DD">
        <w:rPr>
          <w:lang w:val="en-US"/>
        </w:rPr>
        <w:t xml:space="preserve"> </w:t>
      </w:r>
      <w:r w:rsidRPr="00A94FCF">
        <w:rPr>
          <w:lang w:val="en-US"/>
        </w:rPr>
        <w:t>biological sex impacts immune responses and COVID-19 outcomes.</w:t>
      </w:r>
      <w:r w:rsidR="005201DD">
        <w:rPr>
          <w:lang w:val="en-US"/>
        </w:rPr>
        <w:t xml:space="preserve"> </w:t>
      </w:r>
      <w:r w:rsidRPr="00A94FCF">
        <w:rPr>
          <w:lang w:val="en-US"/>
        </w:rPr>
        <w:t>Nat Rev Immunol 20:</w:t>
      </w:r>
      <w:r w:rsidR="00B6679B">
        <w:rPr>
          <w:lang w:val="en-US"/>
        </w:rPr>
        <w:t xml:space="preserve"> </w:t>
      </w:r>
      <w:r w:rsidRPr="00A94FCF">
        <w:rPr>
          <w:lang w:val="en-US"/>
        </w:rPr>
        <w:t>442</w:t>
      </w:r>
      <w:r w:rsidR="00E27333">
        <w:rPr>
          <w:lang w:val="en-US"/>
        </w:rPr>
        <w:t>-</w:t>
      </w:r>
      <w:r w:rsidRPr="00A94FCF">
        <w:rPr>
          <w:lang w:val="en-US"/>
        </w:rPr>
        <w:t xml:space="preserve">447. </w:t>
      </w:r>
      <w:hyperlink r:id="rId6" w:history="1">
        <w:r w:rsidR="00C74DF0" w:rsidRPr="00E5407F">
          <w:rPr>
            <w:rStyle w:val="Hipervnculo"/>
            <w:lang w:val="en-US"/>
          </w:rPr>
          <w:t>https://doi.org/10.1038/s41577-020-0348-8</w:t>
        </w:r>
      </w:hyperlink>
    </w:p>
    <w:p w14:paraId="1FBD6532" w14:textId="77777777" w:rsidR="00B64F8D" w:rsidRPr="005201DD" w:rsidRDefault="00B64F8D" w:rsidP="00A94FCF">
      <w:pPr>
        <w:spacing w:after="0" w:line="240" w:lineRule="auto"/>
        <w:jc w:val="both"/>
        <w:rPr>
          <w:lang w:val="en-US"/>
        </w:rPr>
      </w:pPr>
    </w:p>
    <w:sectPr w:rsidR="00B64F8D" w:rsidRPr="0052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NDcwMbS0tDQwszRR0lEKTi0uzszPAykwrgUAJsX0eiwAAAA="/>
  </w:docVars>
  <w:rsids>
    <w:rsidRoot w:val="00900AFB"/>
    <w:rsid w:val="00080A4D"/>
    <w:rsid w:val="0042312B"/>
    <w:rsid w:val="005201DD"/>
    <w:rsid w:val="00594934"/>
    <w:rsid w:val="00684DDC"/>
    <w:rsid w:val="00841134"/>
    <w:rsid w:val="00900AFB"/>
    <w:rsid w:val="00A608FC"/>
    <w:rsid w:val="00A94FCF"/>
    <w:rsid w:val="00B64F8D"/>
    <w:rsid w:val="00B6679B"/>
    <w:rsid w:val="00BE4EDC"/>
    <w:rsid w:val="00C74DF0"/>
    <w:rsid w:val="00E27333"/>
    <w:rsid w:val="00F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8234"/>
  <w15:chartTrackingRefBased/>
  <w15:docId w15:val="{4C18C1A3-6C0A-4D5B-8EF8-3959C839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01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D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38/s41577-020-0348-8" TargetMode="External"/><Relationship Id="rId5" Type="http://schemas.openxmlformats.org/officeDocument/2006/relationships/hyperlink" Target="https://doi.org/10.1001/jamanetworkopen.2020.5619" TargetMode="External"/><Relationship Id="rId4" Type="http://schemas.openxmlformats.org/officeDocument/2006/relationships/hyperlink" Target="https://doi.org/10.1016/j.jinf.2020.03.0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10</cp:revision>
  <dcterms:created xsi:type="dcterms:W3CDTF">2021-07-01T12:44:00Z</dcterms:created>
  <dcterms:modified xsi:type="dcterms:W3CDTF">2021-07-02T11:00:00Z</dcterms:modified>
</cp:coreProperties>
</file>