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1C02" w14:textId="69FE2EA1" w:rsidR="009B19DC" w:rsidRPr="009B19DC" w:rsidRDefault="009B19DC" w:rsidP="009B19DC">
      <w:pPr>
        <w:spacing w:after="0" w:line="240" w:lineRule="auto"/>
        <w:jc w:val="center"/>
        <w:rPr>
          <w:sz w:val="24"/>
          <w:szCs w:val="24"/>
        </w:rPr>
      </w:pPr>
      <w:r w:rsidRPr="009B19DC">
        <w:rPr>
          <w:sz w:val="24"/>
          <w:szCs w:val="24"/>
        </w:rPr>
        <w:t xml:space="preserve">LA PROTECCIÓN CONTRA </w:t>
      </w:r>
      <w:r w:rsidR="00AD18A1">
        <w:rPr>
          <w:sz w:val="24"/>
          <w:szCs w:val="24"/>
        </w:rPr>
        <w:t xml:space="preserve">LA REINFECCION POR </w:t>
      </w:r>
      <w:r w:rsidRPr="009B19DC">
        <w:rPr>
          <w:sz w:val="24"/>
          <w:szCs w:val="24"/>
        </w:rPr>
        <w:t xml:space="preserve">SARSCOV-2 </w:t>
      </w:r>
      <w:r w:rsidR="00AD18A1">
        <w:rPr>
          <w:sz w:val="24"/>
          <w:szCs w:val="24"/>
        </w:rPr>
        <w:t xml:space="preserve">EN BASE A </w:t>
      </w:r>
      <w:r w:rsidRPr="009B19DC">
        <w:rPr>
          <w:sz w:val="24"/>
          <w:szCs w:val="24"/>
        </w:rPr>
        <w:t>DATOS DEL MUNDO REAL</w:t>
      </w:r>
    </w:p>
    <w:p w14:paraId="67A8FED9" w14:textId="5945C4E4" w:rsidR="009B19DC" w:rsidRPr="009B19DC" w:rsidRDefault="009B19DC" w:rsidP="009B19DC">
      <w:pPr>
        <w:spacing w:after="0" w:line="240" w:lineRule="auto"/>
        <w:jc w:val="center"/>
        <w:rPr>
          <w:sz w:val="24"/>
          <w:szCs w:val="24"/>
        </w:rPr>
      </w:pPr>
    </w:p>
    <w:p w14:paraId="649F348B" w14:textId="6EAB13C9" w:rsidR="009B19DC" w:rsidRDefault="009B19DC" w:rsidP="009B19DC">
      <w:pPr>
        <w:spacing w:after="0" w:line="240" w:lineRule="auto"/>
      </w:pPr>
    </w:p>
    <w:p w14:paraId="4526203C" w14:textId="5EEC3713" w:rsidR="00EA01CE" w:rsidRDefault="004A246B" w:rsidP="00EA01CE">
      <w:pPr>
        <w:spacing w:after="0" w:line="240" w:lineRule="auto"/>
        <w:jc w:val="both"/>
      </w:pPr>
      <w:r>
        <w:t xml:space="preserve">Hace unas semanas </w:t>
      </w:r>
      <w:proofErr w:type="spellStart"/>
      <w:r w:rsidR="00CF2923">
        <w:t>PLoS</w:t>
      </w:r>
      <w:proofErr w:type="spellEnd"/>
      <w:r w:rsidR="00CF2923">
        <w:t xml:space="preserve"> ONE </w:t>
      </w:r>
      <w:r>
        <w:t xml:space="preserve">publicó un estudio </w:t>
      </w:r>
      <w:r w:rsidR="00EA01CE">
        <w:t xml:space="preserve">observacional retrospectivo </w:t>
      </w:r>
      <w:r w:rsidR="00CF2923">
        <w:t xml:space="preserve">orientado a lograr </w:t>
      </w:r>
      <w:r w:rsidR="00EA01CE">
        <w:t xml:space="preserve">una mejor comprensión </w:t>
      </w:r>
      <w:r w:rsidR="00CF2923">
        <w:t xml:space="preserve">en cuanto a la magnitud y duración </w:t>
      </w:r>
      <w:r w:rsidR="00EA01CE">
        <w:t>del</w:t>
      </w:r>
      <w:r w:rsidR="00CF2923">
        <w:t xml:space="preserve"> efecto </w:t>
      </w:r>
      <w:r w:rsidR="00EA01CE">
        <w:t>protec</w:t>
      </w:r>
      <w:r w:rsidR="00CF2923">
        <w:t xml:space="preserve">tor conferido por una </w:t>
      </w:r>
      <w:r w:rsidR="00EA01CE">
        <w:t>infección previa por SARS-CoV-2 contra la reinfección</w:t>
      </w:r>
      <w:r w:rsidR="00CF2923">
        <w:t xml:space="preserve"> con dicho virus</w:t>
      </w:r>
      <w:r w:rsidR="00EA01CE">
        <w:t xml:space="preserve">. Los objetivos </w:t>
      </w:r>
      <w:r w:rsidR="00CF2923">
        <w:t>apuntaban a</w:t>
      </w:r>
      <w:r w:rsidR="00EA01CE">
        <w:t xml:space="preserve"> evaluar la </w:t>
      </w:r>
      <w:r w:rsidR="00CF2923">
        <w:t xml:space="preserve">persistencia de </w:t>
      </w:r>
      <w:r w:rsidR="00EA01CE">
        <w:t>la inmunidad a</w:t>
      </w:r>
      <w:r w:rsidR="00CF2923">
        <w:t xml:space="preserve">nte el nuevo contacto con </w:t>
      </w:r>
      <w:r w:rsidR="00EA01CE">
        <w:t xml:space="preserve">SARS-CoV-2 entre los individuos inicialmente no vacunados </w:t>
      </w:r>
      <w:r w:rsidR="00CF2923">
        <w:t xml:space="preserve">que habían experimentado </w:t>
      </w:r>
      <w:r w:rsidR="00EA01CE">
        <w:t xml:space="preserve">infección previa por </w:t>
      </w:r>
      <w:r w:rsidR="00CF2923">
        <w:t>COVID-19</w:t>
      </w:r>
      <w:r w:rsidR="00EA01CE">
        <w:t xml:space="preserve">, </w:t>
      </w:r>
      <w:r w:rsidR="00CF2923">
        <w:t xml:space="preserve">como así también </w:t>
      </w:r>
      <w:r w:rsidR="00EA01CE">
        <w:t xml:space="preserve">la tasa cruda de reinfección por </w:t>
      </w:r>
      <w:r w:rsidR="00CF2923">
        <w:t xml:space="preserve">este coronavirus </w:t>
      </w:r>
      <w:r w:rsidR="00EA01CE">
        <w:t>y factores de riesgo asociados</w:t>
      </w:r>
      <w:r w:rsidR="00CF2923">
        <w:t xml:space="preserve"> que pudieran intervenir en los desenlaces ante la exposición</w:t>
      </w:r>
      <w:r w:rsidR="00EA01CE">
        <w:t xml:space="preserve">. </w:t>
      </w:r>
      <w:r w:rsidR="00860EEC">
        <w:t>La investigación se llevó a cabo d</w:t>
      </w:r>
      <w:r w:rsidR="00EA01CE">
        <w:t xml:space="preserve">urante </w:t>
      </w:r>
      <w:r w:rsidR="00860EEC">
        <w:t xml:space="preserve">un </w:t>
      </w:r>
      <w:r w:rsidR="00EA01CE">
        <w:t xml:space="preserve">período de tiempo </w:t>
      </w:r>
      <w:r w:rsidR="00860EEC">
        <w:t>c</w:t>
      </w:r>
      <w:r w:rsidR="00EA01CE">
        <w:t xml:space="preserve">omprendido entre </w:t>
      </w:r>
      <w:r w:rsidR="00860EEC">
        <w:t xml:space="preserve">el 29 de </w:t>
      </w:r>
      <w:r w:rsidR="00EA01CE">
        <w:t>febrero</w:t>
      </w:r>
      <w:r w:rsidR="00860EEC">
        <w:t xml:space="preserve"> de</w:t>
      </w:r>
      <w:r w:rsidR="00EA01CE">
        <w:t xml:space="preserve"> 2020,</w:t>
      </w:r>
      <w:r w:rsidR="00860EEC">
        <w:t xml:space="preserve"> y el </w:t>
      </w:r>
      <w:r w:rsidR="00EA01CE">
        <w:t>30 de abril de 2021</w:t>
      </w:r>
      <w:r w:rsidR="00860EEC">
        <w:t xml:space="preserve">. El número de individuos estudiados fue de </w:t>
      </w:r>
      <w:r w:rsidR="00EA01CE">
        <w:t xml:space="preserve">144.678.382 de individuos con diagnóstico molecular de SARS-CoV-2 o pruebas </w:t>
      </w:r>
      <w:r w:rsidR="00860EEC">
        <w:t xml:space="preserve">serológicas </w:t>
      </w:r>
      <w:r w:rsidR="00EA01CE">
        <w:t xml:space="preserve">positivas (anticuerpos). </w:t>
      </w:r>
      <w:r w:rsidR="00860EEC">
        <w:t>Las t</w:t>
      </w:r>
      <w:r w:rsidR="00EA01CE">
        <w:t xml:space="preserve">asas de reinfección entre los individuos índice positivos se compararon con las tasas </w:t>
      </w:r>
      <w:r w:rsidR="00860EEC">
        <w:t>registradas e</w:t>
      </w:r>
      <w:r w:rsidR="00EA01CE">
        <w:t>ntre los individuos índice negativo. Los factores</w:t>
      </w:r>
      <w:r w:rsidR="0062543C">
        <w:t xml:space="preserve"> </w:t>
      </w:r>
      <w:r w:rsidR="00EA01CE">
        <w:t xml:space="preserve">asociados con la reinfección se </w:t>
      </w:r>
      <w:r w:rsidR="00860EEC">
        <w:t xml:space="preserve">analizaron </w:t>
      </w:r>
      <w:r w:rsidR="00EA01CE">
        <w:t xml:space="preserve">mediante </w:t>
      </w:r>
      <w:r w:rsidR="00860EEC">
        <w:t xml:space="preserve">la </w:t>
      </w:r>
      <w:r w:rsidR="00EA01CE">
        <w:t>regresión logística multivariada. Para ambos objetivos, el punto final fue un resultado posterior positivo en la prueba diagnóstic</w:t>
      </w:r>
      <w:r w:rsidR="00860EEC">
        <w:t>a</w:t>
      </w:r>
      <w:r w:rsidR="00EA01CE">
        <w:t xml:space="preserve"> molecular. </w:t>
      </w:r>
      <w:r w:rsidR="00860EEC">
        <w:t>En congruencia con otros estudios ya publicados</w:t>
      </w:r>
      <w:r w:rsidR="00EA01CE">
        <w:t>, el riesgo de reinfección entre individuos índice positivo</w:t>
      </w:r>
      <w:r w:rsidR="00860EEC">
        <w:t>s</w:t>
      </w:r>
      <w:r w:rsidR="00EA01CE">
        <w:t xml:space="preserve"> fue </w:t>
      </w:r>
      <w:r w:rsidR="00860EEC">
        <w:t xml:space="preserve">un </w:t>
      </w:r>
      <w:r w:rsidR="00EA01CE">
        <w:t xml:space="preserve">87% más bajo que el riesgo de infección entre </w:t>
      </w:r>
      <w:r w:rsidR="00860EEC">
        <w:t xml:space="preserve">aquellos </w:t>
      </w:r>
      <w:r w:rsidR="00EA01CE">
        <w:t>índice negativo. La duración de la protección contra la reinfección fue estable durante un</w:t>
      </w:r>
      <w:r w:rsidR="00860EEC">
        <w:t>a estimación de tiempo</w:t>
      </w:r>
      <w:r w:rsidR="00AD18A1">
        <w:t xml:space="preserve"> cuya mediana fue de </w:t>
      </w:r>
      <w:r w:rsidR="00EA01CE">
        <w:t xml:space="preserve">5 meses y hasta un </w:t>
      </w:r>
      <w:r w:rsidR="00AD18A1">
        <w:t>período</w:t>
      </w:r>
      <w:r w:rsidR="00EA01CE">
        <w:t xml:space="preserve"> de seguimiento de 1 año.</w:t>
      </w:r>
    </w:p>
    <w:p w14:paraId="67C1749F" w14:textId="1CA0AA41" w:rsidR="00AD18A1" w:rsidRDefault="00EA01CE" w:rsidP="00EA01CE">
      <w:pPr>
        <w:spacing w:after="0" w:line="240" w:lineRule="auto"/>
        <w:jc w:val="both"/>
      </w:pPr>
      <w:r>
        <w:t xml:space="preserve">Los factores asociados con un mayor riesgo de reinfección incluyeron edad avanzada, enfermedades inmunológicas </w:t>
      </w:r>
      <w:r w:rsidR="00AD18A1">
        <w:t xml:space="preserve">que operaban como </w:t>
      </w:r>
      <w:r>
        <w:t>com</w:t>
      </w:r>
      <w:r w:rsidR="00AD18A1">
        <w:t>orbilidades</w:t>
      </w:r>
      <w:r w:rsidR="008628BA">
        <w:t>,</w:t>
      </w:r>
      <w:r w:rsidR="00AD18A1">
        <w:t xml:space="preserve"> </w:t>
      </w:r>
      <w:r>
        <w:t xml:space="preserve">y </w:t>
      </w:r>
      <w:r w:rsidR="00AD18A1">
        <w:t xml:space="preserve">residir </w:t>
      </w:r>
      <w:r>
        <w:t>en entornos de congregados</w:t>
      </w:r>
      <w:r w:rsidR="00AD18A1">
        <w:t xml:space="preserve">. Por su parte, </w:t>
      </w:r>
      <w:r>
        <w:t xml:space="preserve">los trabajadores de la salud tuvieron una disminución </w:t>
      </w:r>
      <w:r w:rsidR="00AD18A1">
        <w:t xml:space="preserve">en cuanto al </w:t>
      </w:r>
      <w:r>
        <w:t xml:space="preserve">riesgo de reinfección. </w:t>
      </w:r>
    </w:p>
    <w:p w14:paraId="342309AB" w14:textId="3D00B6A4" w:rsidR="004F7D41" w:rsidRDefault="00EA01CE" w:rsidP="00EA01CE">
      <w:pPr>
        <w:spacing w:after="0" w:line="240" w:lineRule="auto"/>
        <w:jc w:val="both"/>
      </w:pPr>
      <w:r>
        <w:t xml:space="preserve">Este gran estudio </w:t>
      </w:r>
      <w:r w:rsidR="00AD18A1">
        <w:t xml:space="preserve">llevado a cabo </w:t>
      </w:r>
      <w:r>
        <w:t xml:space="preserve">en la población </w:t>
      </w:r>
      <w:r w:rsidR="00AD18A1">
        <w:t xml:space="preserve">de </w:t>
      </w:r>
      <w:r>
        <w:t>estadounidense</w:t>
      </w:r>
      <w:r w:rsidR="00AD18A1">
        <w:t>s</w:t>
      </w:r>
      <w:r>
        <w:t xml:space="preserve"> sugiere que la inmunidad inducida por infección es duradera para las variantes que circula</w:t>
      </w:r>
      <w:r w:rsidR="00AD18A1">
        <w:t>ron en dicho período (previo al</w:t>
      </w:r>
      <w:r>
        <w:t xml:space="preserve"> predominio </w:t>
      </w:r>
      <w:r w:rsidR="00AD18A1">
        <w:t xml:space="preserve">de </w:t>
      </w:r>
      <w:r>
        <w:t>Delta</w:t>
      </w:r>
      <w:r w:rsidR="00AD18A1">
        <w:t>)</w:t>
      </w:r>
      <w:r>
        <w:t>.</w:t>
      </w:r>
    </w:p>
    <w:p w14:paraId="331D6B78" w14:textId="0AB0B5EF" w:rsidR="004F7D41" w:rsidRDefault="004F7D41" w:rsidP="00EA01CE">
      <w:pPr>
        <w:spacing w:after="0" w:line="240" w:lineRule="auto"/>
        <w:jc w:val="both"/>
      </w:pPr>
    </w:p>
    <w:p w14:paraId="38405569" w14:textId="171970D8" w:rsidR="004F7D41" w:rsidRDefault="004F7D41" w:rsidP="009B19DC">
      <w:pPr>
        <w:spacing w:after="0" w:line="240" w:lineRule="auto"/>
      </w:pPr>
    </w:p>
    <w:p w14:paraId="58CD9EEA" w14:textId="727BAE3A" w:rsidR="004F7D41" w:rsidRPr="004F7D41" w:rsidRDefault="004F7D41" w:rsidP="009B19DC">
      <w:pPr>
        <w:spacing w:after="0" w:line="240" w:lineRule="auto"/>
        <w:rPr>
          <w:b/>
          <w:bCs/>
        </w:rPr>
      </w:pPr>
      <w:r w:rsidRPr="004F7D41">
        <w:rPr>
          <w:b/>
          <w:bCs/>
        </w:rPr>
        <w:t>Referencia</w:t>
      </w:r>
    </w:p>
    <w:p w14:paraId="0DD7EB06" w14:textId="1354695B" w:rsidR="004F7D41" w:rsidRPr="00CF2923" w:rsidRDefault="004F7D41" w:rsidP="00EA31B1">
      <w:pPr>
        <w:spacing w:after="0" w:line="240" w:lineRule="auto"/>
        <w:jc w:val="both"/>
        <w:rPr>
          <w:lang w:val="en-US"/>
        </w:rPr>
      </w:pPr>
      <w:r w:rsidRPr="00EA31B1">
        <w:rPr>
          <w:lang w:val="en-US"/>
        </w:rPr>
        <w:t xml:space="preserve">Reynolds SL, et al. </w:t>
      </w:r>
      <w:r w:rsidRPr="004F7D41">
        <w:rPr>
          <w:lang w:val="en-US"/>
        </w:rPr>
        <w:t xml:space="preserve">Risk of and duration of protection from SARS-CoV-2 reinfection assessed with real-world data. </w:t>
      </w:r>
      <w:proofErr w:type="spellStart"/>
      <w:r w:rsidRPr="00CF2923">
        <w:rPr>
          <w:lang w:val="en-US"/>
        </w:rPr>
        <w:t>PLoS</w:t>
      </w:r>
      <w:proofErr w:type="spellEnd"/>
      <w:r w:rsidRPr="00CF2923">
        <w:rPr>
          <w:lang w:val="en-US"/>
        </w:rPr>
        <w:t xml:space="preserve"> One 2023 Mar 21;18(3</w:t>
      </w:r>
      <w:proofErr w:type="gramStart"/>
      <w:r w:rsidRPr="00CF2923">
        <w:rPr>
          <w:lang w:val="en-US"/>
        </w:rPr>
        <w:t>):e</w:t>
      </w:r>
      <w:proofErr w:type="gramEnd"/>
      <w:r w:rsidRPr="00CF2923">
        <w:rPr>
          <w:lang w:val="en-US"/>
        </w:rPr>
        <w:t xml:space="preserve">0280584. </w:t>
      </w:r>
      <w:proofErr w:type="spellStart"/>
      <w:r w:rsidRPr="00CF2923">
        <w:rPr>
          <w:lang w:val="en-US"/>
        </w:rPr>
        <w:t>doi</w:t>
      </w:r>
      <w:proofErr w:type="spellEnd"/>
      <w:r w:rsidRPr="00CF2923">
        <w:rPr>
          <w:lang w:val="en-US"/>
        </w:rPr>
        <w:t>: 10.1371/journal.pone.0280584</w:t>
      </w:r>
    </w:p>
    <w:p w14:paraId="02DB35D3" w14:textId="77777777" w:rsidR="004F7D41" w:rsidRPr="00CF2923" w:rsidRDefault="004F7D41" w:rsidP="009B19DC">
      <w:pPr>
        <w:spacing w:after="0" w:line="240" w:lineRule="auto"/>
        <w:rPr>
          <w:lang w:val="en-US"/>
        </w:rPr>
      </w:pPr>
    </w:p>
    <w:sectPr w:rsidR="004F7D41" w:rsidRPr="00CF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DC"/>
    <w:rsid w:val="001A215E"/>
    <w:rsid w:val="004A246B"/>
    <w:rsid w:val="004F7D41"/>
    <w:rsid w:val="0062543C"/>
    <w:rsid w:val="00860EEC"/>
    <w:rsid w:val="008628BA"/>
    <w:rsid w:val="009B19DC"/>
    <w:rsid w:val="00AD18A1"/>
    <w:rsid w:val="00CF2923"/>
    <w:rsid w:val="00D57AD9"/>
    <w:rsid w:val="00EA01CE"/>
    <w:rsid w:val="00EA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3795"/>
  <w15:chartTrackingRefBased/>
  <w15:docId w15:val="{438BD611-F0CB-4F9C-90F5-E41AC16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9</cp:revision>
  <dcterms:created xsi:type="dcterms:W3CDTF">2023-03-27T10:30:00Z</dcterms:created>
  <dcterms:modified xsi:type="dcterms:W3CDTF">2023-04-22T16:40:00Z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a7d810af-462b-42d2-b82a-49f1e9e7674f</vt:lpwstr>
  </property>
</Properties>
</file>