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32ECB" w14:textId="77777777" w:rsidR="004D2731" w:rsidRPr="004D2731" w:rsidRDefault="004D2731" w:rsidP="004D2731">
      <w:pPr>
        <w:shd w:val="clear" w:color="auto" w:fill="FFFFFF"/>
        <w:spacing w:after="0" w:line="240" w:lineRule="auto"/>
        <w:textAlignment w:val="baseline"/>
        <w:outlineLvl w:val="0"/>
        <w:rPr>
          <w:rFonts w:ascii="Merriweather" w:eastAsia="Times New Roman" w:hAnsi="Merriweather" w:cs="Times New Roman"/>
          <w:b/>
          <w:bCs/>
          <w:color w:val="2A2A2A"/>
          <w:kern w:val="36"/>
          <w:sz w:val="36"/>
          <w:szCs w:val="36"/>
          <w:lang w:val="en-US" w:eastAsia="es-AR"/>
          <w14:ligatures w14:val="none"/>
        </w:rPr>
      </w:pPr>
      <w:r w:rsidRPr="004D2731">
        <w:rPr>
          <w:rFonts w:ascii="Merriweather" w:eastAsia="Times New Roman" w:hAnsi="Merriweather" w:cs="Times New Roman"/>
          <w:b/>
          <w:bCs/>
          <w:color w:val="2A2A2A"/>
          <w:kern w:val="36"/>
          <w:sz w:val="36"/>
          <w:szCs w:val="36"/>
          <w:lang w:val="en-US" w:eastAsia="es-AR"/>
          <w14:ligatures w14:val="none"/>
        </w:rPr>
        <w:t>New Onset or Deterioration of Thyroid Eye Disease After mRNA SARS-CoV-2 Vaccines: Report of 2 Cases and Literature Review  </w:t>
      </w:r>
    </w:p>
    <w:p w14:paraId="65D6F690" w14:textId="11A3D70A" w:rsidR="004D2731" w:rsidRPr="004D2731" w:rsidRDefault="004D2731" w:rsidP="004D2731">
      <w:pPr>
        <w:shd w:val="clear" w:color="auto" w:fill="FFFFFF"/>
        <w:spacing w:after="0" w:line="240" w:lineRule="auto"/>
        <w:textAlignment w:val="baseline"/>
        <w:rPr>
          <w:rFonts w:ascii="Source Sans Pro" w:eastAsia="Times New Roman" w:hAnsi="Source Sans Pro" w:cs="Times New Roman"/>
          <w:color w:val="2A2A2A"/>
          <w:kern w:val="0"/>
          <w:sz w:val="24"/>
          <w:szCs w:val="24"/>
          <w:lang w:val="en-US" w:eastAsia="es-AR"/>
          <w14:ligatures w14:val="none"/>
        </w:rPr>
      </w:pPr>
    </w:p>
    <w:p w14:paraId="02BDE3D5" w14:textId="77777777" w:rsidR="004D2731" w:rsidRPr="004D2731" w:rsidRDefault="004D2731" w:rsidP="004D2731">
      <w:pPr>
        <w:shd w:val="clear" w:color="auto" w:fill="FFFFFF"/>
        <w:spacing w:after="0" w:line="240" w:lineRule="auto"/>
        <w:textAlignment w:val="baseline"/>
        <w:rPr>
          <w:rFonts w:ascii="Source Sans Pro" w:eastAsia="Times New Roman" w:hAnsi="Source Sans Pro" w:cs="Times New Roman"/>
          <w:color w:val="2A2A2A"/>
          <w:kern w:val="0"/>
          <w:sz w:val="24"/>
          <w:szCs w:val="24"/>
          <w:lang w:val="en-US" w:eastAsia="es-AR"/>
          <w14:ligatures w14:val="none"/>
        </w:rPr>
      </w:pPr>
      <w:hyperlink r:id="rId5" w:history="1">
        <w:proofErr w:type="spellStart"/>
        <w:r w:rsidRPr="004D2731">
          <w:rPr>
            <w:rFonts w:ascii="Source Sans Pro" w:eastAsia="Times New Roman" w:hAnsi="Source Sans Pro" w:cs="Times New Roman"/>
            <w:color w:val="006FB7"/>
            <w:kern w:val="0"/>
            <w:sz w:val="24"/>
            <w:szCs w:val="24"/>
            <w:bdr w:val="none" w:sz="0" w:space="0" w:color="auto" w:frame="1"/>
            <w:lang w:val="en-US" w:eastAsia="es-AR"/>
            <w14:ligatures w14:val="none"/>
          </w:rPr>
          <w:t>Abubakr</w:t>
        </w:r>
        <w:proofErr w:type="spellEnd"/>
        <w:r w:rsidRPr="004D2731">
          <w:rPr>
            <w:rFonts w:ascii="Source Sans Pro" w:eastAsia="Times New Roman" w:hAnsi="Source Sans Pro" w:cs="Times New Roman"/>
            <w:color w:val="006FB7"/>
            <w:kern w:val="0"/>
            <w:sz w:val="24"/>
            <w:szCs w:val="24"/>
            <w:bdr w:val="none" w:sz="0" w:space="0" w:color="auto" w:frame="1"/>
            <w:lang w:val="en-US" w:eastAsia="es-AR"/>
            <w14:ligatures w14:val="none"/>
          </w:rPr>
          <w:t xml:space="preserve"> Mohamed</w:t>
        </w:r>
      </w:hyperlink>
      <w:r w:rsidRPr="004D2731">
        <w:rPr>
          <w:rFonts w:ascii="Source Sans Pro" w:eastAsia="Times New Roman" w:hAnsi="Source Sans Pro" w:cs="Times New Roman"/>
          <w:color w:val="2A2A2A"/>
          <w:kern w:val="0"/>
          <w:sz w:val="24"/>
          <w:szCs w:val="24"/>
          <w:bdr w:val="none" w:sz="0" w:space="0" w:color="auto" w:frame="1"/>
          <w:lang w:val="en-US" w:eastAsia="es-AR"/>
          <w14:ligatures w14:val="none"/>
        </w:rPr>
        <w:t>,</w:t>
      </w:r>
      <w:r w:rsidRPr="004D2731">
        <w:rPr>
          <w:rFonts w:ascii="Source Sans Pro" w:eastAsia="Times New Roman" w:hAnsi="Source Sans Pro" w:cs="Times New Roman"/>
          <w:color w:val="2A2A2A"/>
          <w:kern w:val="0"/>
          <w:sz w:val="24"/>
          <w:szCs w:val="24"/>
          <w:lang w:val="en-US" w:eastAsia="es-AR"/>
          <w14:ligatures w14:val="none"/>
        </w:rPr>
        <w:t> </w:t>
      </w:r>
      <w:proofErr w:type="spellStart"/>
      <w:r w:rsidRPr="004D2731">
        <w:rPr>
          <w:rFonts w:ascii="Source Sans Pro" w:eastAsia="Times New Roman" w:hAnsi="Source Sans Pro" w:cs="Times New Roman"/>
          <w:color w:val="2A2A2A"/>
          <w:kern w:val="0"/>
          <w:sz w:val="24"/>
          <w:szCs w:val="24"/>
          <w:bdr w:val="none" w:sz="0" w:space="0" w:color="auto" w:frame="1"/>
          <w:lang w:eastAsia="es-AR"/>
          <w14:ligatures w14:val="none"/>
        </w:rPr>
        <w:fldChar w:fldCharType="begin"/>
      </w:r>
      <w:r w:rsidRPr="004D2731">
        <w:rPr>
          <w:rFonts w:ascii="Source Sans Pro" w:eastAsia="Times New Roman" w:hAnsi="Source Sans Pro" w:cs="Times New Roman"/>
          <w:color w:val="2A2A2A"/>
          <w:kern w:val="0"/>
          <w:sz w:val="24"/>
          <w:szCs w:val="24"/>
          <w:bdr w:val="none" w:sz="0" w:space="0" w:color="auto" w:frame="1"/>
          <w:lang w:val="en-US" w:eastAsia="es-AR"/>
          <w14:ligatures w14:val="none"/>
        </w:rPr>
        <w:instrText xml:space="preserve"> HYPERLINK "javascript:;" </w:instrText>
      </w:r>
      <w:r w:rsidRPr="004D2731">
        <w:rPr>
          <w:rFonts w:ascii="Source Sans Pro" w:eastAsia="Times New Roman" w:hAnsi="Source Sans Pro" w:cs="Times New Roman"/>
          <w:color w:val="2A2A2A"/>
          <w:kern w:val="0"/>
          <w:sz w:val="24"/>
          <w:szCs w:val="24"/>
          <w:bdr w:val="none" w:sz="0" w:space="0" w:color="auto" w:frame="1"/>
          <w:lang w:eastAsia="es-AR"/>
          <w14:ligatures w14:val="none"/>
        </w:rPr>
        <w:fldChar w:fldCharType="separate"/>
      </w:r>
      <w:r w:rsidRPr="004D2731">
        <w:rPr>
          <w:rFonts w:ascii="Source Sans Pro" w:eastAsia="Times New Roman" w:hAnsi="Source Sans Pro" w:cs="Times New Roman"/>
          <w:color w:val="006FB7"/>
          <w:kern w:val="0"/>
          <w:sz w:val="24"/>
          <w:szCs w:val="24"/>
          <w:bdr w:val="none" w:sz="0" w:space="0" w:color="auto" w:frame="1"/>
          <w:lang w:val="en-US" w:eastAsia="es-AR"/>
          <w14:ligatures w14:val="none"/>
        </w:rPr>
        <w:t>Ploutarchos</w:t>
      </w:r>
      <w:proofErr w:type="spellEnd"/>
      <w:r w:rsidRPr="004D2731">
        <w:rPr>
          <w:rFonts w:ascii="Source Sans Pro" w:eastAsia="Times New Roman" w:hAnsi="Source Sans Pro" w:cs="Times New Roman"/>
          <w:color w:val="006FB7"/>
          <w:kern w:val="0"/>
          <w:sz w:val="24"/>
          <w:szCs w:val="24"/>
          <w:bdr w:val="none" w:sz="0" w:space="0" w:color="auto" w:frame="1"/>
          <w:lang w:val="en-US" w:eastAsia="es-AR"/>
          <w14:ligatures w14:val="none"/>
        </w:rPr>
        <w:t xml:space="preserve"> </w:t>
      </w:r>
      <w:proofErr w:type="spellStart"/>
      <w:r w:rsidRPr="004D2731">
        <w:rPr>
          <w:rFonts w:ascii="Source Sans Pro" w:eastAsia="Times New Roman" w:hAnsi="Source Sans Pro" w:cs="Times New Roman"/>
          <w:color w:val="006FB7"/>
          <w:kern w:val="0"/>
          <w:sz w:val="24"/>
          <w:szCs w:val="24"/>
          <w:bdr w:val="none" w:sz="0" w:space="0" w:color="auto" w:frame="1"/>
          <w:lang w:val="en-US" w:eastAsia="es-AR"/>
          <w14:ligatures w14:val="none"/>
        </w:rPr>
        <w:t>Tzoulis</w:t>
      </w:r>
      <w:proofErr w:type="spellEnd"/>
      <w:r w:rsidRPr="004D2731">
        <w:rPr>
          <w:rFonts w:ascii="Source Sans Pro" w:eastAsia="Times New Roman" w:hAnsi="Source Sans Pro" w:cs="Times New Roman"/>
          <w:color w:val="2A2A2A"/>
          <w:kern w:val="0"/>
          <w:sz w:val="24"/>
          <w:szCs w:val="24"/>
          <w:bdr w:val="none" w:sz="0" w:space="0" w:color="auto" w:frame="1"/>
          <w:lang w:eastAsia="es-AR"/>
          <w14:ligatures w14:val="none"/>
        </w:rPr>
        <w:fldChar w:fldCharType="end"/>
      </w:r>
      <w:r w:rsidRPr="004D2731">
        <w:rPr>
          <w:rFonts w:ascii="Source Sans Pro" w:eastAsia="Times New Roman" w:hAnsi="Source Sans Pro" w:cs="Times New Roman"/>
          <w:color w:val="2A2A2A"/>
          <w:kern w:val="0"/>
          <w:sz w:val="24"/>
          <w:szCs w:val="24"/>
          <w:bdr w:val="none" w:sz="0" w:space="0" w:color="auto" w:frame="1"/>
          <w:lang w:val="en-US" w:eastAsia="es-AR"/>
          <w14:ligatures w14:val="none"/>
        </w:rPr>
        <w:t>,</w:t>
      </w:r>
      <w:r w:rsidRPr="004D2731">
        <w:rPr>
          <w:rFonts w:ascii="Source Sans Pro" w:eastAsia="Times New Roman" w:hAnsi="Source Sans Pro" w:cs="Times New Roman"/>
          <w:color w:val="2A2A2A"/>
          <w:kern w:val="0"/>
          <w:sz w:val="24"/>
          <w:szCs w:val="24"/>
          <w:lang w:val="en-US" w:eastAsia="es-AR"/>
          <w14:ligatures w14:val="none"/>
        </w:rPr>
        <w:t> </w:t>
      </w:r>
      <w:hyperlink r:id="rId6" w:history="1">
        <w:r w:rsidRPr="004D2731">
          <w:rPr>
            <w:rFonts w:ascii="Source Sans Pro" w:eastAsia="Times New Roman" w:hAnsi="Source Sans Pro" w:cs="Times New Roman"/>
            <w:color w:val="006FB7"/>
            <w:kern w:val="0"/>
            <w:sz w:val="24"/>
            <w:szCs w:val="24"/>
            <w:bdr w:val="none" w:sz="0" w:space="0" w:color="auto" w:frame="1"/>
            <w:lang w:val="en-US" w:eastAsia="es-AR"/>
            <w14:ligatures w14:val="none"/>
          </w:rPr>
          <w:t xml:space="preserve">Andrea Lora </w:t>
        </w:r>
        <w:proofErr w:type="spellStart"/>
        <w:r w:rsidRPr="004D2731">
          <w:rPr>
            <w:rFonts w:ascii="Source Sans Pro" w:eastAsia="Times New Roman" w:hAnsi="Source Sans Pro" w:cs="Times New Roman"/>
            <w:color w:val="006FB7"/>
            <w:kern w:val="0"/>
            <w:sz w:val="24"/>
            <w:szCs w:val="24"/>
            <w:bdr w:val="none" w:sz="0" w:space="0" w:color="auto" w:frame="1"/>
            <w:lang w:val="en-US" w:eastAsia="es-AR"/>
            <w14:ligatures w14:val="none"/>
          </w:rPr>
          <w:t>Kossler</w:t>
        </w:r>
        <w:proofErr w:type="spellEnd"/>
      </w:hyperlink>
      <w:r w:rsidRPr="004D2731">
        <w:rPr>
          <w:rFonts w:ascii="Source Sans Pro" w:eastAsia="Times New Roman" w:hAnsi="Source Sans Pro" w:cs="Times New Roman"/>
          <w:color w:val="2A2A2A"/>
          <w:kern w:val="0"/>
          <w:sz w:val="24"/>
          <w:szCs w:val="24"/>
          <w:bdr w:val="none" w:sz="0" w:space="0" w:color="auto" w:frame="1"/>
          <w:lang w:val="en-US" w:eastAsia="es-AR"/>
          <w14:ligatures w14:val="none"/>
        </w:rPr>
        <w:t>,</w:t>
      </w:r>
      <w:r w:rsidRPr="004D2731">
        <w:rPr>
          <w:rFonts w:ascii="Source Sans Pro" w:eastAsia="Times New Roman" w:hAnsi="Source Sans Pro" w:cs="Times New Roman"/>
          <w:color w:val="2A2A2A"/>
          <w:kern w:val="0"/>
          <w:sz w:val="24"/>
          <w:szCs w:val="24"/>
          <w:lang w:val="en-US" w:eastAsia="es-AR"/>
          <w14:ligatures w14:val="none"/>
        </w:rPr>
        <w:t> </w:t>
      </w:r>
      <w:proofErr w:type="spellStart"/>
      <w:r w:rsidRPr="004D2731">
        <w:rPr>
          <w:rFonts w:ascii="Source Sans Pro" w:eastAsia="Times New Roman" w:hAnsi="Source Sans Pro" w:cs="Times New Roman"/>
          <w:color w:val="2A2A2A"/>
          <w:kern w:val="0"/>
          <w:sz w:val="24"/>
          <w:szCs w:val="24"/>
          <w:bdr w:val="none" w:sz="0" w:space="0" w:color="auto" w:frame="1"/>
          <w:lang w:eastAsia="es-AR"/>
          <w14:ligatures w14:val="none"/>
        </w:rPr>
        <w:fldChar w:fldCharType="begin"/>
      </w:r>
      <w:r w:rsidRPr="004D2731">
        <w:rPr>
          <w:rFonts w:ascii="Source Sans Pro" w:eastAsia="Times New Roman" w:hAnsi="Source Sans Pro" w:cs="Times New Roman"/>
          <w:color w:val="2A2A2A"/>
          <w:kern w:val="0"/>
          <w:sz w:val="24"/>
          <w:szCs w:val="24"/>
          <w:bdr w:val="none" w:sz="0" w:space="0" w:color="auto" w:frame="1"/>
          <w:lang w:val="en-US" w:eastAsia="es-AR"/>
          <w14:ligatures w14:val="none"/>
        </w:rPr>
        <w:instrText xml:space="preserve"> HYPERLINK "javascript:;" </w:instrText>
      </w:r>
      <w:r w:rsidRPr="004D2731">
        <w:rPr>
          <w:rFonts w:ascii="Source Sans Pro" w:eastAsia="Times New Roman" w:hAnsi="Source Sans Pro" w:cs="Times New Roman"/>
          <w:color w:val="2A2A2A"/>
          <w:kern w:val="0"/>
          <w:sz w:val="24"/>
          <w:szCs w:val="24"/>
          <w:bdr w:val="none" w:sz="0" w:space="0" w:color="auto" w:frame="1"/>
          <w:lang w:eastAsia="es-AR"/>
          <w14:ligatures w14:val="none"/>
        </w:rPr>
        <w:fldChar w:fldCharType="separate"/>
      </w:r>
      <w:r w:rsidRPr="004D2731">
        <w:rPr>
          <w:rFonts w:ascii="Source Sans Pro" w:eastAsia="Times New Roman" w:hAnsi="Source Sans Pro" w:cs="Times New Roman"/>
          <w:color w:val="006FB7"/>
          <w:kern w:val="0"/>
          <w:sz w:val="24"/>
          <w:szCs w:val="24"/>
          <w:bdr w:val="none" w:sz="0" w:space="0" w:color="auto" w:frame="1"/>
          <w:lang w:val="en-US" w:eastAsia="es-AR"/>
          <w14:ligatures w14:val="none"/>
        </w:rPr>
        <w:t>Chrysoula</w:t>
      </w:r>
      <w:proofErr w:type="spellEnd"/>
      <w:r w:rsidRPr="004D2731">
        <w:rPr>
          <w:rFonts w:ascii="Source Sans Pro" w:eastAsia="Times New Roman" w:hAnsi="Source Sans Pro" w:cs="Times New Roman"/>
          <w:color w:val="006FB7"/>
          <w:kern w:val="0"/>
          <w:sz w:val="24"/>
          <w:szCs w:val="24"/>
          <w:bdr w:val="none" w:sz="0" w:space="0" w:color="auto" w:frame="1"/>
          <w:lang w:val="en-US" w:eastAsia="es-AR"/>
          <w14:ligatures w14:val="none"/>
        </w:rPr>
        <w:t xml:space="preserve"> </w:t>
      </w:r>
      <w:proofErr w:type="spellStart"/>
      <w:r w:rsidRPr="004D2731">
        <w:rPr>
          <w:rFonts w:ascii="Source Sans Pro" w:eastAsia="Times New Roman" w:hAnsi="Source Sans Pro" w:cs="Times New Roman"/>
          <w:color w:val="006FB7"/>
          <w:kern w:val="0"/>
          <w:sz w:val="24"/>
          <w:szCs w:val="24"/>
          <w:bdr w:val="none" w:sz="0" w:space="0" w:color="auto" w:frame="1"/>
          <w:lang w:val="en-US" w:eastAsia="es-AR"/>
          <w14:ligatures w14:val="none"/>
        </w:rPr>
        <w:t>Dosiou</w:t>
      </w:r>
      <w:proofErr w:type="spellEnd"/>
      <w:r w:rsidRPr="004D2731">
        <w:rPr>
          <w:rFonts w:ascii="Source Sans Pro" w:eastAsia="Times New Roman" w:hAnsi="Source Sans Pro" w:cs="Times New Roman"/>
          <w:color w:val="2A2A2A"/>
          <w:kern w:val="0"/>
          <w:sz w:val="24"/>
          <w:szCs w:val="24"/>
          <w:bdr w:val="none" w:sz="0" w:space="0" w:color="auto" w:frame="1"/>
          <w:lang w:eastAsia="es-AR"/>
          <w14:ligatures w14:val="none"/>
        </w:rPr>
        <w:fldChar w:fldCharType="end"/>
      </w:r>
    </w:p>
    <w:p w14:paraId="49DA1CF9" w14:textId="77777777" w:rsidR="004D2731" w:rsidRPr="004D2731" w:rsidRDefault="004D2731" w:rsidP="004D2731">
      <w:pPr>
        <w:shd w:val="clear" w:color="auto" w:fill="FFFFFF"/>
        <w:spacing w:after="0" w:line="240" w:lineRule="auto"/>
        <w:textAlignment w:val="baseline"/>
        <w:rPr>
          <w:rFonts w:ascii="Source Sans Pro" w:eastAsia="Times New Roman" w:hAnsi="Source Sans Pro" w:cs="Times New Roman"/>
          <w:color w:val="2A2A2A"/>
          <w:kern w:val="0"/>
          <w:sz w:val="24"/>
          <w:szCs w:val="24"/>
          <w:lang w:val="en-US" w:eastAsia="es-AR"/>
          <w14:ligatures w14:val="none"/>
        </w:rPr>
      </w:pPr>
      <w:r w:rsidRPr="004D2731">
        <w:rPr>
          <w:rFonts w:ascii="inherit" w:eastAsia="Times New Roman" w:hAnsi="inherit" w:cs="Times New Roman"/>
          <w:i/>
          <w:iCs/>
          <w:color w:val="2A2A2A"/>
          <w:kern w:val="0"/>
          <w:sz w:val="24"/>
          <w:szCs w:val="24"/>
          <w:bdr w:val="none" w:sz="0" w:space="0" w:color="auto" w:frame="1"/>
          <w:lang w:val="en-US" w:eastAsia="es-AR"/>
          <w14:ligatures w14:val="none"/>
        </w:rPr>
        <w:t>The Journal of Clinical Endocrinology &amp; Metabolism</w:t>
      </w:r>
      <w:r w:rsidRPr="004D2731">
        <w:rPr>
          <w:rFonts w:ascii="Source Sans Pro" w:eastAsia="Times New Roman" w:hAnsi="Source Sans Pro" w:cs="Times New Roman"/>
          <w:color w:val="2A2A2A"/>
          <w:kern w:val="0"/>
          <w:sz w:val="24"/>
          <w:szCs w:val="24"/>
          <w:lang w:val="en-US" w:eastAsia="es-AR"/>
          <w14:ligatures w14:val="none"/>
        </w:rPr>
        <w:t>, Volume 108, Issue 4, 1 April 2023, Pages 979–985, </w:t>
      </w:r>
      <w:hyperlink r:id="rId7" w:history="1">
        <w:r w:rsidRPr="004D2731">
          <w:rPr>
            <w:rFonts w:ascii="Source Sans Pro" w:eastAsia="Times New Roman" w:hAnsi="Source Sans Pro" w:cs="Times New Roman"/>
            <w:color w:val="006FB7"/>
            <w:kern w:val="0"/>
            <w:sz w:val="24"/>
            <w:szCs w:val="24"/>
            <w:bdr w:val="none" w:sz="0" w:space="0" w:color="auto" w:frame="1"/>
            <w:lang w:val="en-US" w:eastAsia="es-AR"/>
            <w14:ligatures w14:val="none"/>
          </w:rPr>
          <w:t>https://doi.org/10.1210/clinem/dgac606</w:t>
        </w:r>
      </w:hyperlink>
    </w:p>
    <w:p w14:paraId="7452BE2D" w14:textId="5E13EAF0" w:rsidR="004D2731" w:rsidRPr="004D2731" w:rsidRDefault="004D2731" w:rsidP="004D2731">
      <w:pPr>
        <w:shd w:val="clear" w:color="auto" w:fill="FFFFFF"/>
        <w:spacing w:after="0" w:line="240" w:lineRule="auto"/>
        <w:textAlignment w:val="baseline"/>
        <w:rPr>
          <w:rFonts w:ascii="inherit" w:eastAsia="Times New Roman" w:hAnsi="inherit" w:cs="Times New Roman"/>
          <w:color w:val="2A2A2A"/>
          <w:kern w:val="0"/>
          <w:sz w:val="27"/>
          <w:szCs w:val="27"/>
          <w:lang w:eastAsia="es-AR"/>
          <w14:ligatures w14:val="none"/>
        </w:rPr>
      </w:pPr>
      <w:r w:rsidRPr="004D2731">
        <w:rPr>
          <w:rFonts w:ascii="Source Sans Pro" w:eastAsia="Times New Roman" w:hAnsi="Source Sans Pro" w:cs="Times New Roman"/>
          <w:color w:val="2A2A2A"/>
          <w:kern w:val="0"/>
          <w:sz w:val="24"/>
          <w:szCs w:val="24"/>
          <w:lang w:eastAsia="es-AR"/>
          <w14:ligatures w14:val="none"/>
        </w:rPr>
        <w:t> </w:t>
      </w:r>
    </w:p>
    <w:p w14:paraId="09AE6A5B" w14:textId="77777777" w:rsidR="004D2731" w:rsidRPr="004D2731" w:rsidRDefault="004D2731" w:rsidP="004D2731">
      <w:pPr>
        <w:shd w:val="clear" w:color="auto" w:fill="FFFFFF"/>
        <w:spacing w:after="0" w:line="240" w:lineRule="auto"/>
        <w:jc w:val="both"/>
        <w:textAlignment w:val="baseline"/>
        <w:rPr>
          <w:rFonts w:ascii="Source Sans Pro" w:eastAsia="Times New Roman" w:hAnsi="Source Sans Pro" w:cs="Times New Roman"/>
          <w:b/>
          <w:bCs/>
          <w:color w:val="2A2A2A"/>
          <w:kern w:val="0"/>
          <w:sz w:val="29"/>
          <w:szCs w:val="29"/>
          <w:lang w:eastAsia="es-AR"/>
          <w14:ligatures w14:val="none"/>
        </w:rPr>
      </w:pPr>
      <w:proofErr w:type="spellStart"/>
      <w:r w:rsidRPr="004D2731">
        <w:rPr>
          <w:rFonts w:ascii="Source Sans Pro" w:eastAsia="Times New Roman" w:hAnsi="Source Sans Pro" w:cs="Times New Roman"/>
          <w:b/>
          <w:bCs/>
          <w:color w:val="2A2A2A"/>
          <w:kern w:val="0"/>
          <w:sz w:val="29"/>
          <w:szCs w:val="29"/>
          <w:lang w:eastAsia="es-AR"/>
          <w14:ligatures w14:val="none"/>
        </w:rPr>
        <w:t>Context</w:t>
      </w:r>
      <w:proofErr w:type="spellEnd"/>
    </w:p>
    <w:p w14:paraId="0332CC2D" w14:textId="77777777" w:rsidR="004D2731" w:rsidRPr="004D2731" w:rsidRDefault="004D2731" w:rsidP="004D2731">
      <w:pPr>
        <w:shd w:val="clear" w:color="auto" w:fill="FFFFFF"/>
        <w:spacing w:after="0" w:line="240" w:lineRule="auto"/>
        <w:jc w:val="both"/>
        <w:textAlignment w:val="baseline"/>
        <w:rPr>
          <w:rFonts w:ascii="inherit" w:eastAsia="Times New Roman" w:hAnsi="inherit" w:cs="Times New Roman"/>
          <w:color w:val="2A2A2A"/>
          <w:kern w:val="0"/>
          <w:sz w:val="23"/>
          <w:szCs w:val="23"/>
          <w:lang w:val="en-US" w:eastAsia="es-AR"/>
          <w14:ligatures w14:val="none"/>
        </w:rPr>
      </w:pPr>
      <w:r w:rsidRPr="004D2731">
        <w:rPr>
          <w:rFonts w:ascii="inherit" w:eastAsia="Times New Roman" w:hAnsi="inherit" w:cs="Times New Roman"/>
          <w:color w:val="2A2A2A"/>
          <w:kern w:val="0"/>
          <w:sz w:val="23"/>
          <w:szCs w:val="23"/>
          <w:lang w:val="en-US" w:eastAsia="es-AR"/>
          <w14:ligatures w14:val="none"/>
        </w:rPr>
        <w:t>Occurrence of Graves’ disease (GD) has been reported following SARS-CoV-2 vaccine administration, but little is known about thyroid eye disease (TED) after SARS-CoV-2 vaccination.</w:t>
      </w:r>
    </w:p>
    <w:p w14:paraId="4ECF86C8" w14:textId="77777777" w:rsidR="004D2731" w:rsidRPr="004D2731" w:rsidRDefault="004D2731" w:rsidP="004D2731">
      <w:pPr>
        <w:shd w:val="clear" w:color="auto" w:fill="FFFFFF"/>
        <w:spacing w:after="0" w:line="240" w:lineRule="auto"/>
        <w:jc w:val="both"/>
        <w:textAlignment w:val="baseline"/>
        <w:rPr>
          <w:rFonts w:ascii="Source Sans Pro" w:eastAsia="Times New Roman" w:hAnsi="Source Sans Pro" w:cs="Times New Roman"/>
          <w:b/>
          <w:bCs/>
          <w:color w:val="2A2A2A"/>
          <w:kern w:val="0"/>
          <w:sz w:val="29"/>
          <w:szCs w:val="29"/>
          <w:lang w:val="en-US" w:eastAsia="es-AR"/>
          <w14:ligatures w14:val="none"/>
        </w:rPr>
      </w:pPr>
      <w:r w:rsidRPr="004D2731">
        <w:rPr>
          <w:rFonts w:ascii="Source Sans Pro" w:eastAsia="Times New Roman" w:hAnsi="Source Sans Pro" w:cs="Times New Roman"/>
          <w:b/>
          <w:bCs/>
          <w:color w:val="2A2A2A"/>
          <w:kern w:val="0"/>
          <w:sz w:val="29"/>
          <w:szCs w:val="29"/>
          <w:lang w:val="en-US" w:eastAsia="es-AR"/>
          <w14:ligatures w14:val="none"/>
        </w:rPr>
        <w:t>Objective</w:t>
      </w:r>
    </w:p>
    <w:p w14:paraId="0A72757D" w14:textId="77777777" w:rsidR="004D2731" w:rsidRPr="004D2731" w:rsidRDefault="004D2731" w:rsidP="004D2731">
      <w:pPr>
        <w:shd w:val="clear" w:color="auto" w:fill="FFFFFF"/>
        <w:spacing w:after="0" w:line="240" w:lineRule="auto"/>
        <w:jc w:val="both"/>
        <w:textAlignment w:val="baseline"/>
        <w:rPr>
          <w:rFonts w:ascii="inherit" w:eastAsia="Times New Roman" w:hAnsi="inherit" w:cs="Times New Roman"/>
          <w:color w:val="2A2A2A"/>
          <w:kern w:val="0"/>
          <w:sz w:val="23"/>
          <w:szCs w:val="23"/>
          <w:lang w:val="en-US" w:eastAsia="es-AR"/>
          <w14:ligatures w14:val="none"/>
        </w:rPr>
      </w:pPr>
      <w:r w:rsidRPr="004D2731">
        <w:rPr>
          <w:rFonts w:ascii="inherit" w:eastAsia="Times New Roman" w:hAnsi="inherit" w:cs="Times New Roman"/>
          <w:color w:val="2A2A2A"/>
          <w:kern w:val="0"/>
          <w:sz w:val="23"/>
          <w:szCs w:val="23"/>
          <w:lang w:val="en-US" w:eastAsia="es-AR"/>
          <w14:ligatures w14:val="none"/>
        </w:rPr>
        <w:t>We describe 2 cases of TED activation following mRNA SARS-CoV-2 vaccination and review additional cases reported in the literature.</w:t>
      </w:r>
    </w:p>
    <w:p w14:paraId="6411E3D2" w14:textId="77777777" w:rsidR="004D2731" w:rsidRPr="004D2731" w:rsidRDefault="004D2731" w:rsidP="004D2731">
      <w:pPr>
        <w:shd w:val="clear" w:color="auto" w:fill="FFFFFF"/>
        <w:spacing w:after="0" w:line="240" w:lineRule="auto"/>
        <w:jc w:val="both"/>
        <w:textAlignment w:val="baseline"/>
        <w:rPr>
          <w:rFonts w:ascii="Source Sans Pro" w:eastAsia="Times New Roman" w:hAnsi="Source Sans Pro" w:cs="Times New Roman"/>
          <w:b/>
          <w:bCs/>
          <w:color w:val="2A2A2A"/>
          <w:kern w:val="0"/>
          <w:sz w:val="29"/>
          <w:szCs w:val="29"/>
          <w:lang w:val="en-US" w:eastAsia="es-AR"/>
          <w14:ligatures w14:val="none"/>
        </w:rPr>
      </w:pPr>
      <w:r w:rsidRPr="004D2731">
        <w:rPr>
          <w:rFonts w:ascii="Source Sans Pro" w:eastAsia="Times New Roman" w:hAnsi="Source Sans Pro" w:cs="Times New Roman"/>
          <w:b/>
          <w:bCs/>
          <w:color w:val="2A2A2A"/>
          <w:kern w:val="0"/>
          <w:sz w:val="29"/>
          <w:szCs w:val="29"/>
          <w:lang w:val="en-US" w:eastAsia="es-AR"/>
          <w14:ligatures w14:val="none"/>
        </w:rPr>
        <w:t>Methods</w:t>
      </w:r>
    </w:p>
    <w:p w14:paraId="1D5DDDF6" w14:textId="77777777" w:rsidR="004D2731" w:rsidRPr="004D2731" w:rsidRDefault="004D2731" w:rsidP="004D2731">
      <w:pPr>
        <w:shd w:val="clear" w:color="auto" w:fill="FFFFFF"/>
        <w:spacing w:after="0" w:line="240" w:lineRule="auto"/>
        <w:jc w:val="both"/>
        <w:textAlignment w:val="baseline"/>
        <w:rPr>
          <w:rFonts w:ascii="inherit" w:eastAsia="Times New Roman" w:hAnsi="inherit" w:cs="Times New Roman"/>
          <w:color w:val="2A2A2A"/>
          <w:kern w:val="0"/>
          <w:sz w:val="23"/>
          <w:szCs w:val="23"/>
          <w:lang w:val="en-US" w:eastAsia="es-AR"/>
          <w14:ligatures w14:val="none"/>
        </w:rPr>
      </w:pPr>
      <w:r w:rsidRPr="004D2731">
        <w:rPr>
          <w:rFonts w:ascii="inherit" w:eastAsia="Times New Roman" w:hAnsi="inherit" w:cs="Times New Roman"/>
          <w:color w:val="2A2A2A"/>
          <w:kern w:val="0"/>
          <w:sz w:val="23"/>
          <w:szCs w:val="23"/>
          <w:lang w:val="en-US" w:eastAsia="es-AR"/>
          <w14:ligatures w14:val="none"/>
        </w:rPr>
        <w:t>We report 2 cases of TED activation following SARS-CoV-2 vaccination: 1 case of TED worsening in a patient with GD, and 1 of de novo active TED progressing to dysthyroid optic neuropathy in a patient with a history of Hashimoto hypothyroidism. Our literature search revealed 8 additional reported TED cases associated with SARS-CoV-2 vaccination until June 2022. We review the characteristics, duration, and management of TED following SARS-CoV-2 vaccination in these cases.</w:t>
      </w:r>
    </w:p>
    <w:p w14:paraId="3518E4B5" w14:textId="77777777" w:rsidR="004D2731" w:rsidRPr="004D2731" w:rsidRDefault="004D2731" w:rsidP="004D2731">
      <w:pPr>
        <w:shd w:val="clear" w:color="auto" w:fill="FFFFFF"/>
        <w:spacing w:after="0" w:line="240" w:lineRule="auto"/>
        <w:jc w:val="both"/>
        <w:textAlignment w:val="baseline"/>
        <w:rPr>
          <w:rFonts w:ascii="Source Sans Pro" w:eastAsia="Times New Roman" w:hAnsi="Source Sans Pro" w:cs="Times New Roman"/>
          <w:b/>
          <w:bCs/>
          <w:color w:val="2A2A2A"/>
          <w:kern w:val="0"/>
          <w:sz w:val="29"/>
          <w:szCs w:val="29"/>
          <w:lang w:val="en-US" w:eastAsia="es-AR"/>
          <w14:ligatures w14:val="none"/>
        </w:rPr>
      </w:pPr>
      <w:r w:rsidRPr="004D2731">
        <w:rPr>
          <w:rFonts w:ascii="Source Sans Pro" w:eastAsia="Times New Roman" w:hAnsi="Source Sans Pro" w:cs="Times New Roman"/>
          <w:b/>
          <w:bCs/>
          <w:color w:val="2A2A2A"/>
          <w:kern w:val="0"/>
          <w:sz w:val="29"/>
          <w:szCs w:val="29"/>
          <w:lang w:val="en-US" w:eastAsia="es-AR"/>
          <w14:ligatures w14:val="none"/>
        </w:rPr>
        <w:t>Results</w:t>
      </w:r>
    </w:p>
    <w:p w14:paraId="170AD264" w14:textId="77777777" w:rsidR="004D2731" w:rsidRPr="004D2731" w:rsidRDefault="004D2731" w:rsidP="004D2731">
      <w:pPr>
        <w:shd w:val="clear" w:color="auto" w:fill="FFFFFF"/>
        <w:spacing w:after="0" w:line="240" w:lineRule="auto"/>
        <w:jc w:val="both"/>
        <w:textAlignment w:val="baseline"/>
        <w:rPr>
          <w:rFonts w:ascii="inherit" w:eastAsia="Times New Roman" w:hAnsi="inherit" w:cs="Times New Roman"/>
          <w:color w:val="2A2A2A"/>
          <w:kern w:val="0"/>
          <w:sz w:val="23"/>
          <w:szCs w:val="23"/>
          <w:lang w:val="en-US" w:eastAsia="es-AR"/>
          <w14:ligatures w14:val="none"/>
        </w:rPr>
      </w:pPr>
      <w:r w:rsidRPr="004D2731">
        <w:rPr>
          <w:rFonts w:ascii="inherit" w:eastAsia="Times New Roman" w:hAnsi="inherit" w:cs="Times New Roman"/>
          <w:color w:val="2A2A2A"/>
          <w:kern w:val="0"/>
          <w:sz w:val="23"/>
          <w:szCs w:val="23"/>
          <w:lang w:val="en-US" w:eastAsia="es-AR"/>
          <w14:ligatures w14:val="none"/>
        </w:rPr>
        <w:t>Of all 10 reported TED cases following SARS-CoV-2 vaccination, 4 developed new-onset TED and 6 previously stable TED cases experienced significant deterioration. Six patients had known GD and 2 patients had Hashimoto thyroiditis. Two cases progressed to dysthyroid optic neuropathy, 6 had moderate/severe active disease, and 2 had mild disease that did not require treatment. Seven TED cases received teprotumumab and had a favorable response, 2 of whom had prior limited response to initial prednisone or methylprednisolone and tocilizumab therapy.</w:t>
      </w:r>
    </w:p>
    <w:p w14:paraId="1536099E" w14:textId="77777777" w:rsidR="004D2731" w:rsidRPr="004D2731" w:rsidRDefault="004D2731" w:rsidP="004D2731">
      <w:pPr>
        <w:shd w:val="clear" w:color="auto" w:fill="FFFFFF"/>
        <w:spacing w:after="0" w:line="240" w:lineRule="auto"/>
        <w:jc w:val="both"/>
        <w:textAlignment w:val="baseline"/>
        <w:rPr>
          <w:rFonts w:ascii="Source Sans Pro" w:eastAsia="Times New Roman" w:hAnsi="Source Sans Pro" w:cs="Times New Roman"/>
          <w:b/>
          <w:bCs/>
          <w:color w:val="2A2A2A"/>
          <w:kern w:val="0"/>
          <w:sz w:val="29"/>
          <w:szCs w:val="29"/>
          <w:lang w:val="en-US" w:eastAsia="es-AR"/>
          <w14:ligatures w14:val="none"/>
        </w:rPr>
      </w:pPr>
      <w:r w:rsidRPr="004D2731">
        <w:rPr>
          <w:rFonts w:ascii="Source Sans Pro" w:eastAsia="Times New Roman" w:hAnsi="Source Sans Pro" w:cs="Times New Roman"/>
          <w:b/>
          <w:bCs/>
          <w:color w:val="2A2A2A"/>
          <w:kern w:val="0"/>
          <w:sz w:val="29"/>
          <w:szCs w:val="29"/>
          <w:lang w:val="en-US" w:eastAsia="es-AR"/>
          <w14:ligatures w14:val="none"/>
        </w:rPr>
        <w:t>Conclusion</w:t>
      </w:r>
    </w:p>
    <w:p w14:paraId="551BAA38" w14:textId="77777777" w:rsidR="004D2731" w:rsidRPr="004D2731" w:rsidRDefault="004D2731" w:rsidP="004D2731">
      <w:pPr>
        <w:shd w:val="clear" w:color="auto" w:fill="FFFFFF"/>
        <w:spacing w:after="0" w:line="240" w:lineRule="auto"/>
        <w:jc w:val="both"/>
        <w:textAlignment w:val="baseline"/>
        <w:rPr>
          <w:rFonts w:ascii="inherit" w:eastAsia="Times New Roman" w:hAnsi="inherit" w:cs="Times New Roman"/>
          <w:color w:val="2A2A2A"/>
          <w:kern w:val="0"/>
          <w:sz w:val="23"/>
          <w:szCs w:val="23"/>
          <w:lang w:val="en-US" w:eastAsia="es-AR"/>
          <w14:ligatures w14:val="none"/>
        </w:rPr>
      </w:pPr>
      <w:r w:rsidRPr="004D2731">
        <w:rPr>
          <w:rFonts w:ascii="inherit" w:eastAsia="Times New Roman" w:hAnsi="inherit" w:cs="Times New Roman"/>
          <w:color w:val="2A2A2A"/>
          <w:kern w:val="0"/>
          <w:sz w:val="23"/>
          <w:szCs w:val="23"/>
          <w:lang w:val="en-US" w:eastAsia="es-AR"/>
          <w14:ligatures w14:val="none"/>
        </w:rPr>
        <w:t>New diagnosis or deterioration of TED after mRNA SARS-CoV-2 vaccination can occur, with most cases described in patients with underlying autoimmune thyroid disease. Our report raises awareness to this potential complication to promote early recognition and prompt management of TED associated with mRNA SARS-CoV-2 vaccines. Further studies are needed to explore the mechanism, risk factors, prevention, and treatment of TED following mRNA SARS-CoV-2 vaccination.</w:t>
      </w:r>
    </w:p>
    <w:p w14:paraId="01DAC88A" w14:textId="77777777" w:rsidR="004D2731" w:rsidRDefault="004D2731" w:rsidP="004D2731">
      <w:pPr>
        <w:shd w:val="clear" w:color="auto" w:fill="EFF2F7"/>
        <w:spacing w:after="0" w:line="240" w:lineRule="auto"/>
        <w:jc w:val="both"/>
        <w:textAlignment w:val="baseline"/>
        <w:rPr>
          <w:rFonts w:ascii="Source Sans Pro" w:eastAsia="Times New Roman" w:hAnsi="Source Sans Pro" w:cs="Times New Roman"/>
          <w:color w:val="2A2A2A"/>
          <w:kern w:val="0"/>
          <w:sz w:val="27"/>
          <w:szCs w:val="27"/>
          <w:lang w:eastAsia="es-AR"/>
          <w14:ligatures w14:val="none"/>
        </w:rPr>
      </w:pPr>
    </w:p>
    <w:p w14:paraId="215E0C8C" w14:textId="6882ED69" w:rsidR="004D2731" w:rsidRPr="004D2731" w:rsidRDefault="004D2731" w:rsidP="004D2731">
      <w:pPr>
        <w:shd w:val="clear" w:color="auto" w:fill="EFF2F7"/>
        <w:spacing w:after="0" w:line="240" w:lineRule="auto"/>
        <w:jc w:val="both"/>
        <w:textAlignment w:val="baseline"/>
        <w:rPr>
          <w:rFonts w:ascii="Source Sans Pro" w:eastAsia="Times New Roman" w:hAnsi="Source Sans Pro" w:cs="Times New Roman"/>
          <w:color w:val="2A2A2A"/>
          <w:kern w:val="0"/>
          <w:sz w:val="27"/>
          <w:szCs w:val="27"/>
          <w:lang w:val="en-US" w:eastAsia="es-AR"/>
          <w14:ligatures w14:val="none"/>
        </w:rPr>
      </w:pPr>
      <w:hyperlink r:id="rId8" w:history="1">
        <w:r w:rsidRPr="004D2731">
          <w:rPr>
            <w:rFonts w:ascii="inherit" w:eastAsia="Times New Roman" w:hAnsi="inherit" w:cs="Times New Roman"/>
            <w:color w:val="006FB7"/>
            <w:kern w:val="0"/>
            <w:sz w:val="27"/>
            <w:szCs w:val="27"/>
            <w:bdr w:val="none" w:sz="0" w:space="0" w:color="auto" w:frame="1"/>
            <w:lang w:val="en-US" w:eastAsia="es-AR"/>
            <w14:ligatures w14:val="none"/>
          </w:rPr>
          <w:t>mRNA SARS-CoV-2 vaccine</w:t>
        </w:r>
      </w:hyperlink>
      <w:r w:rsidRPr="004D2731">
        <w:rPr>
          <w:rFonts w:ascii="Source Sans Pro" w:eastAsia="Times New Roman" w:hAnsi="Source Sans Pro" w:cs="Times New Roman"/>
          <w:color w:val="2A2A2A"/>
          <w:kern w:val="0"/>
          <w:sz w:val="27"/>
          <w:szCs w:val="27"/>
          <w:lang w:val="en-US" w:eastAsia="es-AR"/>
          <w14:ligatures w14:val="none"/>
        </w:rPr>
        <w:t>, </w:t>
      </w:r>
      <w:hyperlink r:id="rId9" w:history="1">
        <w:r w:rsidRPr="004D2731">
          <w:rPr>
            <w:rFonts w:ascii="inherit" w:eastAsia="Times New Roman" w:hAnsi="inherit" w:cs="Times New Roman"/>
            <w:color w:val="006FB7"/>
            <w:kern w:val="0"/>
            <w:sz w:val="27"/>
            <w:szCs w:val="27"/>
            <w:bdr w:val="none" w:sz="0" w:space="0" w:color="auto" w:frame="1"/>
            <w:lang w:val="en-US" w:eastAsia="es-AR"/>
            <w14:ligatures w14:val="none"/>
          </w:rPr>
          <w:t>autoimmune thyroid disease</w:t>
        </w:r>
      </w:hyperlink>
      <w:r w:rsidRPr="004D2731">
        <w:rPr>
          <w:rFonts w:ascii="Source Sans Pro" w:eastAsia="Times New Roman" w:hAnsi="Source Sans Pro" w:cs="Times New Roman"/>
          <w:color w:val="2A2A2A"/>
          <w:kern w:val="0"/>
          <w:sz w:val="27"/>
          <w:szCs w:val="27"/>
          <w:lang w:val="en-US" w:eastAsia="es-AR"/>
          <w14:ligatures w14:val="none"/>
        </w:rPr>
        <w:t>, </w:t>
      </w:r>
      <w:hyperlink r:id="rId10" w:history="1">
        <w:r w:rsidRPr="004D2731">
          <w:rPr>
            <w:rFonts w:ascii="inherit" w:eastAsia="Times New Roman" w:hAnsi="inherit" w:cs="Times New Roman"/>
            <w:color w:val="006FB7"/>
            <w:kern w:val="0"/>
            <w:sz w:val="27"/>
            <w:szCs w:val="27"/>
            <w:bdr w:val="none" w:sz="0" w:space="0" w:color="auto" w:frame="1"/>
            <w:lang w:val="en-US" w:eastAsia="es-AR"/>
            <w14:ligatures w14:val="none"/>
          </w:rPr>
          <w:t>thyroid eye disease</w:t>
        </w:r>
      </w:hyperlink>
      <w:r w:rsidRPr="004D2731">
        <w:rPr>
          <w:rFonts w:ascii="Source Sans Pro" w:eastAsia="Times New Roman" w:hAnsi="Source Sans Pro" w:cs="Times New Roman"/>
          <w:color w:val="2A2A2A"/>
          <w:kern w:val="0"/>
          <w:sz w:val="27"/>
          <w:szCs w:val="27"/>
          <w:lang w:val="en-US" w:eastAsia="es-AR"/>
          <w14:ligatures w14:val="none"/>
        </w:rPr>
        <w:t>, </w:t>
      </w:r>
      <w:hyperlink r:id="rId11" w:history="1">
        <w:r w:rsidRPr="004D2731">
          <w:rPr>
            <w:rFonts w:ascii="inherit" w:eastAsia="Times New Roman" w:hAnsi="inherit" w:cs="Times New Roman"/>
            <w:color w:val="006FB7"/>
            <w:kern w:val="0"/>
            <w:sz w:val="27"/>
            <w:szCs w:val="27"/>
            <w:bdr w:val="none" w:sz="0" w:space="0" w:color="auto" w:frame="1"/>
            <w:lang w:val="en-US" w:eastAsia="es-AR"/>
            <w14:ligatures w14:val="none"/>
          </w:rPr>
          <w:t>teprotumumab</w:t>
        </w:r>
      </w:hyperlink>
      <w:r w:rsidRPr="004D2731">
        <w:rPr>
          <w:rFonts w:ascii="Source Sans Pro" w:eastAsia="Times New Roman" w:hAnsi="Source Sans Pro" w:cs="Times New Roman"/>
          <w:color w:val="2A2A2A"/>
          <w:kern w:val="0"/>
          <w:sz w:val="27"/>
          <w:szCs w:val="27"/>
          <w:lang w:val="en-US" w:eastAsia="es-AR"/>
          <w14:ligatures w14:val="none"/>
        </w:rPr>
        <w:t>, </w:t>
      </w:r>
      <w:hyperlink r:id="rId12" w:history="1">
        <w:r w:rsidRPr="004D2731">
          <w:rPr>
            <w:rFonts w:ascii="inherit" w:eastAsia="Times New Roman" w:hAnsi="inherit" w:cs="Times New Roman"/>
            <w:color w:val="006FB7"/>
            <w:kern w:val="0"/>
            <w:sz w:val="27"/>
            <w:szCs w:val="27"/>
            <w:bdr w:val="none" w:sz="0" w:space="0" w:color="auto" w:frame="1"/>
            <w:lang w:val="en-US" w:eastAsia="es-AR"/>
            <w14:ligatures w14:val="none"/>
          </w:rPr>
          <w:t>Graves’ orbitopathy</w:t>
        </w:r>
      </w:hyperlink>
    </w:p>
    <w:p w14:paraId="6D9B2985" w14:textId="77777777" w:rsidR="001A215E" w:rsidRPr="004D2731" w:rsidRDefault="001A215E" w:rsidP="004D2731">
      <w:pPr>
        <w:spacing w:after="0" w:line="240" w:lineRule="auto"/>
        <w:jc w:val="both"/>
        <w:rPr>
          <w:lang w:val="en-US"/>
        </w:rPr>
      </w:pPr>
    </w:p>
    <w:sectPr w:rsidR="001A215E" w:rsidRPr="004D27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w:charset w:val="00"/>
    <w:family w:val="auto"/>
    <w:pitch w:val="variable"/>
    <w:sig w:usb0="20000207" w:usb1="00000002" w:usb2="00000000" w:usb3="00000000" w:csb0="00000197" w:csb1="00000000"/>
  </w:font>
  <w:font w:name="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47FBB"/>
    <w:multiLevelType w:val="multilevel"/>
    <w:tmpl w:val="E06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6107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731"/>
    <w:rsid w:val="001A215E"/>
    <w:rsid w:val="004D2731"/>
    <w:rsid w:val="00D57AD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C761"/>
  <w15:chartTrackingRefBased/>
  <w15:docId w15:val="{A1EC481F-EEC3-4F83-974F-B197DAFF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4D27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14:ligatures w14:val="none"/>
    </w:rPr>
  </w:style>
  <w:style w:type="paragraph" w:styleId="Ttulo2">
    <w:name w:val="heading 2"/>
    <w:basedOn w:val="Normal"/>
    <w:link w:val="Ttulo2Car"/>
    <w:uiPriority w:val="9"/>
    <w:qFormat/>
    <w:rsid w:val="004D2731"/>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s-AR"/>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D2731"/>
    <w:rPr>
      <w:rFonts w:ascii="Times New Roman" w:eastAsia="Times New Roman" w:hAnsi="Times New Roman" w:cs="Times New Roman"/>
      <w:b/>
      <w:bCs/>
      <w:kern w:val="36"/>
      <w:sz w:val="48"/>
      <w:szCs w:val="48"/>
      <w:lang w:eastAsia="es-AR"/>
      <w14:ligatures w14:val="none"/>
    </w:rPr>
  </w:style>
  <w:style w:type="character" w:customStyle="1" w:styleId="Ttulo2Car">
    <w:name w:val="Título 2 Car"/>
    <w:basedOn w:val="Fuentedeprrafopredeter"/>
    <w:link w:val="Ttulo2"/>
    <w:uiPriority w:val="9"/>
    <w:rsid w:val="004D2731"/>
    <w:rPr>
      <w:rFonts w:ascii="Times New Roman" w:eastAsia="Times New Roman" w:hAnsi="Times New Roman" w:cs="Times New Roman"/>
      <w:b/>
      <w:bCs/>
      <w:kern w:val="0"/>
      <w:sz w:val="36"/>
      <w:szCs w:val="36"/>
      <w:lang w:eastAsia="es-AR"/>
      <w14:ligatures w14:val="none"/>
    </w:rPr>
  </w:style>
  <w:style w:type="character" w:styleId="Hipervnculo">
    <w:name w:val="Hyperlink"/>
    <w:basedOn w:val="Fuentedeprrafopredeter"/>
    <w:uiPriority w:val="99"/>
    <w:semiHidden/>
    <w:unhideWhenUsed/>
    <w:rsid w:val="004D2731"/>
    <w:rPr>
      <w:color w:val="0000FF"/>
      <w:u w:val="single"/>
    </w:rPr>
  </w:style>
  <w:style w:type="character" w:customStyle="1" w:styleId="get-access-text">
    <w:name w:val="get-access-text"/>
    <w:basedOn w:val="Fuentedeprrafopredeter"/>
    <w:rsid w:val="004D2731"/>
  </w:style>
  <w:style w:type="character" w:customStyle="1" w:styleId="al-author-name-more">
    <w:name w:val="al-author-name-more"/>
    <w:basedOn w:val="Fuentedeprrafopredeter"/>
    <w:rsid w:val="004D2731"/>
  </w:style>
  <w:style w:type="character" w:customStyle="1" w:styleId="delimiter">
    <w:name w:val="delimiter"/>
    <w:basedOn w:val="Fuentedeprrafopredeter"/>
    <w:rsid w:val="004D2731"/>
  </w:style>
  <w:style w:type="character" w:styleId="nfasis">
    <w:name w:val="Emphasis"/>
    <w:basedOn w:val="Fuentedeprrafopredeter"/>
    <w:uiPriority w:val="20"/>
    <w:qFormat/>
    <w:rsid w:val="004D2731"/>
    <w:rPr>
      <w:i/>
      <w:iCs/>
    </w:rPr>
  </w:style>
  <w:style w:type="paragraph" w:customStyle="1" w:styleId="toolbar-item">
    <w:name w:val="toolbar-item"/>
    <w:basedOn w:val="Normal"/>
    <w:rsid w:val="004D2731"/>
    <w:pPr>
      <w:spacing w:before="100" w:beforeAutospacing="1" w:after="100" w:afterAutospacing="1" w:line="240" w:lineRule="auto"/>
    </w:pPr>
    <w:rPr>
      <w:rFonts w:ascii="Times New Roman" w:eastAsia="Times New Roman" w:hAnsi="Times New Roman" w:cs="Times New Roman"/>
      <w:kern w:val="0"/>
      <w:sz w:val="24"/>
      <w:szCs w:val="24"/>
      <w:lang w:eastAsia="es-AR"/>
      <w14:ligatures w14:val="none"/>
    </w:rPr>
  </w:style>
  <w:style w:type="character" w:customStyle="1" w:styleId="screenreader-text">
    <w:name w:val="screenreader-text"/>
    <w:basedOn w:val="Fuentedeprrafopredeter"/>
    <w:rsid w:val="004D2731"/>
  </w:style>
  <w:style w:type="paragraph" w:customStyle="1" w:styleId="chapter-para">
    <w:name w:val="chapter-para"/>
    <w:basedOn w:val="Normal"/>
    <w:rsid w:val="004D2731"/>
    <w:pPr>
      <w:spacing w:before="100" w:beforeAutospacing="1" w:after="100" w:afterAutospacing="1" w:line="240" w:lineRule="auto"/>
    </w:pPr>
    <w:rPr>
      <w:rFonts w:ascii="Times New Roman" w:eastAsia="Times New Roman" w:hAnsi="Times New Roman" w:cs="Times New Roman"/>
      <w:kern w:val="0"/>
      <w:sz w:val="24"/>
      <w:szCs w:val="24"/>
      <w:lang w:eastAsia="es-A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857292">
      <w:bodyDiv w:val="1"/>
      <w:marLeft w:val="0"/>
      <w:marRight w:val="0"/>
      <w:marTop w:val="0"/>
      <w:marBottom w:val="0"/>
      <w:divBdr>
        <w:top w:val="none" w:sz="0" w:space="0" w:color="auto"/>
        <w:left w:val="none" w:sz="0" w:space="0" w:color="auto"/>
        <w:bottom w:val="none" w:sz="0" w:space="0" w:color="auto"/>
        <w:right w:val="none" w:sz="0" w:space="0" w:color="auto"/>
      </w:divBdr>
      <w:divsChild>
        <w:div w:id="1422796445">
          <w:marLeft w:val="0"/>
          <w:marRight w:val="0"/>
          <w:marTop w:val="0"/>
          <w:marBottom w:val="0"/>
          <w:divBdr>
            <w:top w:val="none" w:sz="0" w:space="0" w:color="auto"/>
            <w:left w:val="none" w:sz="0" w:space="0" w:color="auto"/>
            <w:bottom w:val="none" w:sz="0" w:space="0" w:color="auto"/>
            <w:right w:val="none" w:sz="0" w:space="0" w:color="auto"/>
          </w:divBdr>
          <w:divsChild>
            <w:div w:id="44918673">
              <w:marLeft w:val="0"/>
              <w:marRight w:val="0"/>
              <w:marTop w:val="0"/>
              <w:marBottom w:val="0"/>
              <w:divBdr>
                <w:top w:val="none" w:sz="0" w:space="0" w:color="auto"/>
                <w:left w:val="none" w:sz="0" w:space="0" w:color="auto"/>
                <w:bottom w:val="none" w:sz="0" w:space="0" w:color="auto"/>
                <w:right w:val="none" w:sz="0" w:space="0" w:color="auto"/>
              </w:divBdr>
              <w:divsChild>
                <w:div w:id="308828910">
                  <w:marLeft w:val="0"/>
                  <w:marRight w:val="0"/>
                  <w:marTop w:val="0"/>
                  <w:marBottom w:val="0"/>
                  <w:divBdr>
                    <w:top w:val="none" w:sz="0" w:space="0" w:color="auto"/>
                    <w:left w:val="none" w:sz="0" w:space="0" w:color="auto"/>
                    <w:bottom w:val="none" w:sz="0" w:space="0" w:color="auto"/>
                    <w:right w:val="none" w:sz="0" w:space="0" w:color="auto"/>
                  </w:divBdr>
                  <w:divsChild>
                    <w:div w:id="1874148457">
                      <w:marLeft w:val="0"/>
                      <w:marRight w:val="0"/>
                      <w:marTop w:val="0"/>
                      <w:marBottom w:val="0"/>
                      <w:divBdr>
                        <w:top w:val="none" w:sz="0" w:space="0" w:color="auto"/>
                        <w:left w:val="none" w:sz="0" w:space="0" w:color="auto"/>
                        <w:bottom w:val="none" w:sz="0" w:space="0" w:color="auto"/>
                        <w:right w:val="none" w:sz="0" w:space="0" w:color="auto"/>
                      </w:divBdr>
                    </w:div>
                    <w:div w:id="1977299862">
                      <w:marLeft w:val="0"/>
                      <w:marRight w:val="0"/>
                      <w:marTop w:val="0"/>
                      <w:marBottom w:val="0"/>
                      <w:divBdr>
                        <w:top w:val="none" w:sz="0" w:space="0" w:color="auto"/>
                        <w:left w:val="none" w:sz="0" w:space="0" w:color="auto"/>
                        <w:bottom w:val="none" w:sz="0" w:space="0" w:color="auto"/>
                        <w:right w:val="none" w:sz="0" w:space="0" w:color="auto"/>
                      </w:divBdr>
                      <w:divsChild>
                        <w:div w:id="732116472">
                          <w:marLeft w:val="0"/>
                          <w:marRight w:val="0"/>
                          <w:marTop w:val="0"/>
                          <w:marBottom w:val="165"/>
                          <w:divBdr>
                            <w:top w:val="none" w:sz="0" w:space="0" w:color="auto"/>
                            <w:left w:val="none" w:sz="0" w:space="0" w:color="auto"/>
                            <w:bottom w:val="none" w:sz="0" w:space="0" w:color="auto"/>
                            <w:right w:val="none" w:sz="0" w:space="0" w:color="auto"/>
                          </w:divBdr>
                        </w:div>
                      </w:divsChild>
                    </w:div>
                    <w:div w:id="316879762">
                      <w:marLeft w:val="0"/>
                      <w:marRight w:val="0"/>
                      <w:marTop w:val="165"/>
                      <w:marBottom w:val="165"/>
                      <w:divBdr>
                        <w:top w:val="none" w:sz="0" w:space="0" w:color="auto"/>
                        <w:left w:val="none" w:sz="0" w:space="0" w:color="auto"/>
                        <w:bottom w:val="none" w:sz="0" w:space="0" w:color="auto"/>
                        <w:right w:val="none" w:sz="0" w:space="0" w:color="auto"/>
                      </w:divBdr>
                      <w:divsChild>
                        <w:div w:id="1595741253">
                          <w:marLeft w:val="0"/>
                          <w:marRight w:val="0"/>
                          <w:marTop w:val="0"/>
                          <w:marBottom w:val="0"/>
                          <w:divBdr>
                            <w:top w:val="none" w:sz="0" w:space="0" w:color="auto"/>
                            <w:left w:val="none" w:sz="0" w:space="0" w:color="auto"/>
                            <w:bottom w:val="none" w:sz="0" w:space="0" w:color="auto"/>
                            <w:right w:val="none" w:sz="0" w:space="0" w:color="auto"/>
                          </w:divBdr>
                          <w:divsChild>
                            <w:div w:id="552889020">
                              <w:marLeft w:val="0"/>
                              <w:marRight w:val="225"/>
                              <w:marTop w:val="0"/>
                              <w:marBottom w:val="0"/>
                              <w:divBdr>
                                <w:top w:val="none" w:sz="0" w:space="0" w:color="auto"/>
                                <w:left w:val="none" w:sz="0" w:space="0" w:color="auto"/>
                                <w:bottom w:val="none" w:sz="0" w:space="0" w:color="auto"/>
                                <w:right w:val="none" w:sz="0" w:space="0" w:color="auto"/>
                              </w:divBdr>
                            </w:div>
                          </w:divsChild>
                        </w:div>
                        <w:div w:id="1862864544">
                          <w:marLeft w:val="0"/>
                          <w:marRight w:val="0"/>
                          <w:marTop w:val="0"/>
                          <w:marBottom w:val="0"/>
                          <w:divBdr>
                            <w:top w:val="none" w:sz="0" w:space="0" w:color="auto"/>
                            <w:left w:val="none" w:sz="0" w:space="0" w:color="auto"/>
                            <w:bottom w:val="none" w:sz="0" w:space="0" w:color="auto"/>
                            <w:right w:val="none" w:sz="0" w:space="0" w:color="auto"/>
                          </w:divBdr>
                          <w:divsChild>
                            <w:div w:id="2143960421">
                              <w:marLeft w:val="0"/>
                              <w:marRight w:val="300"/>
                              <w:marTop w:val="0"/>
                              <w:marBottom w:val="0"/>
                              <w:divBdr>
                                <w:top w:val="none" w:sz="0" w:space="0" w:color="auto"/>
                                <w:left w:val="none" w:sz="0" w:space="0" w:color="auto"/>
                                <w:bottom w:val="none" w:sz="0" w:space="0" w:color="auto"/>
                                <w:right w:val="none" w:sz="0" w:space="0" w:color="auto"/>
                              </w:divBdr>
                              <w:divsChild>
                                <w:div w:id="767308940">
                                  <w:marLeft w:val="0"/>
                                  <w:marRight w:val="75"/>
                                  <w:marTop w:val="0"/>
                                  <w:marBottom w:val="0"/>
                                  <w:divBdr>
                                    <w:top w:val="none" w:sz="0" w:space="0" w:color="auto"/>
                                    <w:left w:val="none" w:sz="0" w:space="0" w:color="auto"/>
                                    <w:bottom w:val="none" w:sz="0" w:space="0" w:color="auto"/>
                                    <w:right w:val="none" w:sz="0" w:space="0" w:color="auto"/>
                                  </w:divBdr>
                                </w:div>
                                <w:div w:id="201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916897">
          <w:marLeft w:val="0"/>
          <w:marRight w:val="0"/>
          <w:marTop w:val="0"/>
          <w:marBottom w:val="0"/>
          <w:divBdr>
            <w:top w:val="none" w:sz="0" w:space="0" w:color="auto"/>
            <w:left w:val="none" w:sz="0" w:space="0" w:color="auto"/>
            <w:bottom w:val="none" w:sz="0" w:space="0" w:color="auto"/>
            <w:right w:val="none" w:sz="0" w:space="0" w:color="auto"/>
          </w:divBdr>
          <w:divsChild>
            <w:div w:id="575408238">
              <w:marLeft w:val="0"/>
              <w:marRight w:val="0"/>
              <w:marTop w:val="0"/>
              <w:marBottom w:val="0"/>
              <w:divBdr>
                <w:top w:val="none" w:sz="0" w:space="0" w:color="auto"/>
                <w:left w:val="none" w:sz="0" w:space="0" w:color="auto"/>
                <w:bottom w:val="single" w:sz="6" w:space="0" w:color="CFD5E4"/>
                <w:right w:val="none" w:sz="0" w:space="0" w:color="auto"/>
              </w:divBdr>
              <w:divsChild>
                <w:div w:id="2001107904">
                  <w:marLeft w:val="0"/>
                  <w:marRight w:val="0"/>
                  <w:marTop w:val="0"/>
                  <w:marBottom w:val="0"/>
                  <w:divBdr>
                    <w:top w:val="none" w:sz="0" w:space="0" w:color="auto"/>
                    <w:left w:val="none" w:sz="0" w:space="0" w:color="auto"/>
                    <w:bottom w:val="none" w:sz="0" w:space="0" w:color="auto"/>
                    <w:right w:val="none" w:sz="0" w:space="0" w:color="auto"/>
                  </w:divBdr>
                  <w:divsChild>
                    <w:div w:id="1570967185">
                      <w:marLeft w:val="0"/>
                      <w:marRight w:val="0"/>
                      <w:marTop w:val="0"/>
                      <w:marBottom w:val="0"/>
                      <w:divBdr>
                        <w:top w:val="none" w:sz="0" w:space="0" w:color="auto"/>
                        <w:left w:val="none" w:sz="0" w:space="0" w:color="auto"/>
                        <w:bottom w:val="none" w:sz="0" w:space="0" w:color="auto"/>
                        <w:right w:val="none" w:sz="0" w:space="0" w:color="auto"/>
                      </w:divBdr>
                    </w:div>
                    <w:div w:id="808672067">
                      <w:marLeft w:val="0"/>
                      <w:marRight w:val="0"/>
                      <w:marTop w:val="0"/>
                      <w:marBottom w:val="0"/>
                      <w:divBdr>
                        <w:top w:val="none" w:sz="0" w:space="0" w:color="auto"/>
                        <w:left w:val="none" w:sz="0" w:space="0" w:color="auto"/>
                        <w:bottom w:val="none" w:sz="0" w:space="0" w:color="auto"/>
                        <w:right w:val="none" w:sz="0" w:space="0" w:color="auto"/>
                      </w:divBdr>
                      <w:divsChild>
                        <w:div w:id="1498228233">
                          <w:marLeft w:val="0"/>
                          <w:marRight w:val="0"/>
                          <w:marTop w:val="0"/>
                          <w:marBottom w:val="0"/>
                          <w:divBdr>
                            <w:top w:val="none" w:sz="0" w:space="0" w:color="auto"/>
                            <w:left w:val="none" w:sz="0" w:space="0" w:color="auto"/>
                            <w:bottom w:val="none" w:sz="0" w:space="0" w:color="auto"/>
                            <w:right w:val="none" w:sz="0" w:space="0" w:color="auto"/>
                          </w:divBdr>
                        </w:div>
                      </w:divsChild>
                    </w:div>
                    <w:div w:id="1426874915">
                      <w:marLeft w:val="0"/>
                      <w:marRight w:val="0"/>
                      <w:marTop w:val="0"/>
                      <w:marBottom w:val="0"/>
                      <w:divBdr>
                        <w:top w:val="none" w:sz="0" w:space="0" w:color="auto"/>
                        <w:left w:val="none" w:sz="0" w:space="0" w:color="auto"/>
                        <w:bottom w:val="none" w:sz="0" w:space="0" w:color="auto"/>
                        <w:right w:val="none" w:sz="0" w:space="0" w:color="auto"/>
                      </w:divBdr>
                      <w:divsChild>
                        <w:div w:id="182716831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784760221">
              <w:marLeft w:val="0"/>
              <w:marRight w:val="0"/>
              <w:marTop w:val="0"/>
              <w:marBottom w:val="0"/>
              <w:divBdr>
                <w:top w:val="none" w:sz="0" w:space="0" w:color="auto"/>
                <w:left w:val="none" w:sz="0" w:space="0" w:color="auto"/>
                <w:bottom w:val="none" w:sz="0" w:space="0" w:color="auto"/>
                <w:right w:val="none" w:sz="0" w:space="0" w:color="auto"/>
              </w:divBdr>
              <w:divsChild>
                <w:div w:id="1448891804">
                  <w:marLeft w:val="0"/>
                  <w:marRight w:val="0"/>
                  <w:marTop w:val="0"/>
                  <w:marBottom w:val="0"/>
                  <w:divBdr>
                    <w:top w:val="none" w:sz="0" w:space="0" w:color="auto"/>
                    <w:left w:val="none" w:sz="0" w:space="0" w:color="auto"/>
                    <w:bottom w:val="none" w:sz="0" w:space="0" w:color="auto"/>
                    <w:right w:val="none" w:sz="0" w:space="0" w:color="auto"/>
                  </w:divBdr>
                  <w:divsChild>
                    <w:div w:id="2068338823">
                      <w:marLeft w:val="0"/>
                      <w:marRight w:val="0"/>
                      <w:marTop w:val="0"/>
                      <w:marBottom w:val="0"/>
                      <w:divBdr>
                        <w:top w:val="none" w:sz="0" w:space="0" w:color="auto"/>
                        <w:left w:val="none" w:sz="0" w:space="0" w:color="auto"/>
                        <w:bottom w:val="none" w:sz="0" w:space="0" w:color="auto"/>
                        <w:right w:val="none" w:sz="0" w:space="0" w:color="auto"/>
                      </w:divBdr>
                      <w:divsChild>
                        <w:div w:id="119541080">
                          <w:marLeft w:val="0"/>
                          <w:marRight w:val="0"/>
                          <w:marTop w:val="0"/>
                          <w:marBottom w:val="0"/>
                          <w:divBdr>
                            <w:top w:val="none" w:sz="0" w:space="0" w:color="auto"/>
                            <w:left w:val="none" w:sz="0" w:space="0" w:color="auto"/>
                            <w:bottom w:val="none" w:sz="0" w:space="0" w:color="auto"/>
                            <w:right w:val="none" w:sz="0" w:space="0" w:color="auto"/>
                          </w:divBdr>
                          <w:divsChild>
                            <w:div w:id="1849901557">
                              <w:marLeft w:val="0"/>
                              <w:marRight w:val="0"/>
                              <w:marTop w:val="0"/>
                              <w:marBottom w:val="0"/>
                              <w:divBdr>
                                <w:top w:val="none" w:sz="0" w:space="0" w:color="auto"/>
                                <w:left w:val="none" w:sz="0" w:space="0" w:color="auto"/>
                                <w:bottom w:val="none" w:sz="0" w:space="0" w:color="auto"/>
                                <w:right w:val="none" w:sz="0" w:space="0" w:color="auto"/>
                              </w:divBdr>
                              <w:divsChild>
                                <w:div w:id="1568497583">
                                  <w:marLeft w:val="0"/>
                                  <w:marRight w:val="0"/>
                                  <w:marTop w:val="0"/>
                                  <w:marBottom w:val="0"/>
                                  <w:divBdr>
                                    <w:top w:val="none" w:sz="0" w:space="0" w:color="auto"/>
                                    <w:left w:val="none" w:sz="0" w:space="0" w:color="auto"/>
                                    <w:bottom w:val="none" w:sz="0" w:space="0" w:color="auto"/>
                                    <w:right w:val="none" w:sz="0" w:space="0" w:color="auto"/>
                                  </w:divBdr>
                                </w:div>
                              </w:divsChild>
                            </w:div>
                            <w:div w:id="469370572">
                              <w:marLeft w:val="0"/>
                              <w:marRight w:val="0"/>
                              <w:marTop w:val="0"/>
                              <w:marBottom w:val="0"/>
                              <w:divBdr>
                                <w:top w:val="none" w:sz="0" w:space="0" w:color="auto"/>
                                <w:left w:val="none" w:sz="0" w:space="0" w:color="auto"/>
                                <w:bottom w:val="none" w:sz="0" w:space="0" w:color="auto"/>
                                <w:right w:val="none" w:sz="0" w:space="0" w:color="auto"/>
                              </w:divBdr>
                              <w:divsChild>
                                <w:div w:id="1772970191">
                                  <w:marLeft w:val="0"/>
                                  <w:marRight w:val="0"/>
                                  <w:marTop w:val="0"/>
                                  <w:marBottom w:val="0"/>
                                  <w:divBdr>
                                    <w:top w:val="none" w:sz="0" w:space="0" w:color="auto"/>
                                    <w:left w:val="none" w:sz="0" w:space="0" w:color="auto"/>
                                    <w:bottom w:val="none" w:sz="0" w:space="0" w:color="auto"/>
                                    <w:right w:val="none" w:sz="0" w:space="0" w:color="auto"/>
                                  </w:divBdr>
                                </w:div>
                              </w:divsChild>
                            </w:div>
                            <w:div w:id="1647198666">
                              <w:marLeft w:val="0"/>
                              <w:marRight w:val="0"/>
                              <w:marTop w:val="0"/>
                              <w:marBottom w:val="0"/>
                              <w:divBdr>
                                <w:top w:val="none" w:sz="0" w:space="0" w:color="auto"/>
                                <w:left w:val="none" w:sz="0" w:space="0" w:color="auto"/>
                                <w:bottom w:val="none" w:sz="0" w:space="0" w:color="auto"/>
                                <w:right w:val="none" w:sz="0" w:space="0" w:color="auto"/>
                              </w:divBdr>
                              <w:divsChild>
                                <w:div w:id="1073626906">
                                  <w:marLeft w:val="0"/>
                                  <w:marRight w:val="0"/>
                                  <w:marTop w:val="0"/>
                                  <w:marBottom w:val="0"/>
                                  <w:divBdr>
                                    <w:top w:val="none" w:sz="0" w:space="0" w:color="auto"/>
                                    <w:left w:val="none" w:sz="0" w:space="0" w:color="auto"/>
                                    <w:bottom w:val="none" w:sz="0" w:space="0" w:color="auto"/>
                                    <w:right w:val="none" w:sz="0" w:space="0" w:color="auto"/>
                                  </w:divBdr>
                                </w:div>
                              </w:divsChild>
                            </w:div>
                            <w:div w:id="360859208">
                              <w:marLeft w:val="0"/>
                              <w:marRight w:val="0"/>
                              <w:marTop w:val="0"/>
                              <w:marBottom w:val="0"/>
                              <w:divBdr>
                                <w:top w:val="none" w:sz="0" w:space="0" w:color="auto"/>
                                <w:left w:val="none" w:sz="0" w:space="0" w:color="auto"/>
                                <w:bottom w:val="none" w:sz="0" w:space="0" w:color="auto"/>
                                <w:right w:val="none" w:sz="0" w:space="0" w:color="auto"/>
                              </w:divBdr>
                              <w:divsChild>
                                <w:div w:id="260987734">
                                  <w:marLeft w:val="0"/>
                                  <w:marRight w:val="0"/>
                                  <w:marTop w:val="0"/>
                                  <w:marBottom w:val="0"/>
                                  <w:divBdr>
                                    <w:top w:val="none" w:sz="0" w:space="0" w:color="auto"/>
                                    <w:left w:val="none" w:sz="0" w:space="0" w:color="auto"/>
                                    <w:bottom w:val="none" w:sz="0" w:space="0" w:color="auto"/>
                                    <w:right w:val="none" w:sz="0" w:space="0" w:color="auto"/>
                                  </w:divBdr>
                                </w:div>
                              </w:divsChild>
                            </w:div>
                            <w:div w:id="943461578">
                              <w:marLeft w:val="0"/>
                              <w:marRight w:val="0"/>
                              <w:marTop w:val="0"/>
                              <w:marBottom w:val="0"/>
                              <w:divBdr>
                                <w:top w:val="none" w:sz="0" w:space="0" w:color="auto"/>
                                <w:left w:val="none" w:sz="0" w:space="0" w:color="auto"/>
                                <w:bottom w:val="none" w:sz="0" w:space="0" w:color="auto"/>
                                <w:right w:val="none" w:sz="0" w:space="0" w:color="auto"/>
                              </w:divBdr>
                              <w:divsChild>
                                <w:div w:id="1183395321">
                                  <w:marLeft w:val="0"/>
                                  <w:marRight w:val="0"/>
                                  <w:marTop w:val="0"/>
                                  <w:marBottom w:val="0"/>
                                  <w:divBdr>
                                    <w:top w:val="none" w:sz="0" w:space="0" w:color="auto"/>
                                    <w:left w:val="none" w:sz="0" w:space="0" w:color="auto"/>
                                    <w:bottom w:val="none" w:sz="0" w:space="0" w:color="auto"/>
                                    <w:right w:val="none" w:sz="0" w:space="0" w:color="auto"/>
                                  </w:divBdr>
                                </w:div>
                              </w:divsChild>
                            </w:div>
                            <w:div w:id="1088506168">
                              <w:marLeft w:val="0"/>
                              <w:marRight w:val="0"/>
                              <w:marTop w:val="0"/>
                              <w:marBottom w:val="0"/>
                              <w:divBdr>
                                <w:top w:val="none" w:sz="0" w:space="0" w:color="auto"/>
                                <w:left w:val="none" w:sz="0" w:space="0" w:color="auto"/>
                                <w:bottom w:val="none" w:sz="0" w:space="0" w:color="auto"/>
                                <w:right w:val="none" w:sz="0" w:space="0" w:color="auto"/>
                              </w:divBdr>
                              <w:divsChild>
                                <w:div w:id="658273020">
                                  <w:marLeft w:val="0"/>
                                  <w:marRight w:val="0"/>
                                  <w:marTop w:val="0"/>
                                  <w:marBottom w:val="84"/>
                                  <w:divBdr>
                                    <w:top w:val="single" w:sz="6" w:space="0" w:color="CFD5E4"/>
                                    <w:left w:val="none" w:sz="0" w:space="0" w:color="auto"/>
                                    <w:bottom w:val="none" w:sz="0" w:space="0" w:color="auto"/>
                                    <w:right w:val="none" w:sz="0" w:space="0" w:color="auto"/>
                                  </w:divBdr>
                                </w:div>
                                <w:div w:id="989214742">
                                  <w:marLeft w:val="0"/>
                                  <w:marRight w:val="0"/>
                                  <w:marTop w:val="0"/>
                                  <w:marBottom w:val="0"/>
                                  <w:divBdr>
                                    <w:top w:val="none" w:sz="0" w:space="0" w:color="auto"/>
                                    <w:left w:val="none" w:sz="0" w:space="0" w:color="auto"/>
                                    <w:bottom w:val="none" w:sz="0" w:space="0" w:color="auto"/>
                                    <w:right w:val="none" w:sz="0" w:space="0" w:color="auto"/>
                                  </w:divBdr>
                                  <w:divsChild>
                                    <w:div w:id="167067171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210/clinem/dgac606" TargetMode="External"/><Relationship Id="rId12"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hyperlink" Target="javascript:;" TargetMode="External"/><Relationship Id="rId5" Type="http://schemas.openxmlformats.org/officeDocument/2006/relationships/hyperlink" Target="javascript:;" TargetMode="Externa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2213</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Bottasso</dc:creator>
  <cp:keywords/>
  <dc:description/>
  <cp:lastModifiedBy>Oscar Bottasso</cp:lastModifiedBy>
  <cp:revision>1</cp:revision>
  <dcterms:created xsi:type="dcterms:W3CDTF">2023-03-13T21:31:00Z</dcterms:created>
  <dcterms:modified xsi:type="dcterms:W3CDTF">2023-03-13T21:33:00Z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292c794d-53d9-46d6-9265-aab953d5fc6a</vt:lpwstr>
  </property>
</Properties>
</file>