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0CA5" w14:textId="491FA4C3" w:rsidR="00E6141E" w:rsidRPr="00E6141E" w:rsidRDefault="00E6141E" w:rsidP="00E6141E">
      <w:pPr>
        <w:spacing w:after="0" w:line="240" w:lineRule="auto"/>
        <w:jc w:val="center"/>
        <w:rPr>
          <w:sz w:val="24"/>
          <w:szCs w:val="24"/>
        </w:rPr>
      </w:pPr>
      <w:r w:rsidRPr="00E6141E">
        <w:rPr>
          <w:sz w:val="24"/>
          <w:szCs w:val="24"/>
        </w:rPr>
        <w:t>POR QUÉ LOS ANTICUERPOS PROTECTORES DESAPARECEN TRAS LAS VACUNAS ANTI-COVID-19</w:t>
      </w:r>
    </w:p>
    <w:p w14:paraId="4D7C4F9E" w14:textId="77777777" w:rsidR="00E6141E" w:rsidRDefault="00E6141E" w:rsidP="00042C6C">
      <w:pPr>
        <w:spacing w:after="0" w:line="240" w:lineRule="auto"/>
        <w:jc w:val="both"/>
      </w:pPr>
    </w:p>
    <w:p w14:paraId="21A7B433" w14:textId="2FDCB4CB" w:rsidR="00042C6C" w:rsidRDefault="00042C6C" w:rsidP="00042C6C">
      <w:pPr>
        <w:spacing w:after="0" w:line="240" w:lineRule="auto"/>
        <w:jc w:val="both"/>
      </w:pPr>
      <w:r>
        <w:t>Algunas vacunas ofrecen una protección duradera</w:t>
      </w:r>
      <w:r w:rsidR="00486155">
        <w:t>, como la anti</w:t>
      </w:r>
      <w:r>
        <w:t>tétan</w:t>
      </w:r>
      <w:r w:rsidR="00486155">
        <w:t xml:space="preserve">ica que lo hace </w:t>
      </w:r>
      <w:r>
        <w:t xml:space="preserve">durante al menos 10 años. Para proporcionar una inmunidad duradera, una vacuna debe </w:t>
      </w:r>
      <w:r w:rsidR="00486155">
        <w:t xml:space="preserve">inducir </w:t>
      </w:r>
      <w:r>
        <w:t>la producción de células plasmáticas de larga duración</w:t>
      </w:r>
      <w:r w:rsidR="00486155">
        <w:t xml:space="preserve"> (</w:t>
      </w:r>
      <w:r>
        <w:t>un</w:t>
      </w:r>
      <w:r w:rsidR="00486155">
        <w:t>a</w:t>
      </w:r>
      <w:r>
        <w:t xml:space="preserve"> célula que madura con el tiempo en la médula ósea</w:t>
      </w:r>
      <w:r w:rsidR="00486155">
        <w:t>)</w:t>
      </w:r>
      <w:r>
        <w:t>.</w:t>
      </w:r>
    </w:p>
    <w:p w14:paraId="39B8DB19" w14:textId="10B50A44" w:rsidR="00042C6C" w:rsidRDefault="00042C6C" w:rsidP="00042C6C">
      <w:pPr>
        <w:spacing w:after="0" w:line="240" w:lineRule="auto"/>
        <w:jc w:val="both"/>
      </w:pPr>
      <w:r>
        <w:t xml:space="preserve">Las vacunas de ARNm para el SARS-CoV-2 </w:t>
      </w:r>
      <w:r w:rsidR="006A4C2F">
        <w:t xml:space="preserve">son </w:t>
      </w:r>
      <w:r>
        <w:t>eficaces para prevenir COVID-19 grave</w:t>
      </w:r>
      <w:r w:rsidR="006A4C2F">
        <w:t xml:space="preserve"> vía de la síntesis </w:t>
      </w:r>
      <w:r>
        <w:t xml:space="preserve">de anticuerpos </w:t>
      </w:r>
      <w:r w:rsidR="006A4C2F">
        <w:t xml:space="preserve">dirigidos hacia </w:t>
      </w:r>
      <w:r>
        <w:t xml:space="preserve">proteína </w:t>
      </w:r>
      <w:r w:rsidR="006A4C2F">
        <w:t xml:space="preserve">S </w:t>
      </w:r>
      <w:r>
        <w:t>del virus. Pero los anticuerpos protectores com</w:t>
      </w:r>
      <w:r w:rsidR="006A4C2F">
        <w:t>i</w:t>
      </w:r>
      <w:r>
        <w:t>enza</w:t>
      </w:r>
      <w:r w:rsidR="006A4C2F">
        <w:t>n</w:t>
      </w:r>
      <w:r>
        <w:t xml:space="preserve"> a desaparecer tres meses después y </w:t>
      </w:r>
      <w:r w:rsidR="006A4C2F">
        <w:t xml:space="preserve">así se observaron las </w:t>
      </w:r>
      <w:r>
        <w:t xml:space="preserve">infecciones posvacunación. </w:t>
      </w:r>
    </w:p>
    <w:p w14:paraId="03BA2E5E" w14:textId="0AC51DD6" w:rsidR="00042C6C" w:rsidRDefault="00042C6C" w:rsidP="00042C6C">
      <w:pPr>
        <w:spacing w:after="0" w:line="240" w:lineRule="auto"/>
        <w:jc w:val="both"/>
      </w:pPr>
      <w:r>
        <w:t xml:space="preserve">Para entender mejor </w:t>
      </w:r>
      <w:r w:rsidR="00313D5D">
        <w:t xml:space="preserve">este fenómeno </w:t>
      </w:r>
      <w:r>
        <w:t>un equipo de investiga</w:t>
      </w:r>
      <w:r w:rsidR="00313D5D">
        <w:t xml:space="preserve">dores </w:t>
      </w:r>
      <w:r>
        <w:t>de la Universidad Emory</w:t>
      </w:r>
      <w:r w:rsidR="00313D5D">
        <w:t xml:space="preserve"> en Atlanta</w:t>
      </w:r>
      <w:r>
        <w:t xml:space="preserve"> examinó las células inmunitarias en la médula ósea </w:t>
      </w:r>
      <w:r w:rsidR="00583106">
        <w:t xml:space="preserve">(MO) </w:t>
      </w:r>
      <w:r>
        <w:t>de 19 adultos sanos</w:t>
      </w:r>
      <w:r w:rsidR="00313D5D">
        <w:t xml:space="preserve"> (</w:t>
      </w:r>
      <w:r>
        <w:t>entre 20 y 65 años</w:t>
      </w:r>
      <w:r w:rsidR="00313D5D">
        <w:t xml:space="preserve"> de edad)</w:t>
      </w:r>
      <w:r>
        <w:t xml:space="preserve">. Todos habían recibido previamente entre dos y cinco dosis de vacunas de ARNm contra la COVID-19. Se evaluaron muestras de su </w:t>
      </w:r>
      <w:r w:rsidR="00583106">
        <w:t xml:space="preserve">MO </w:t>
      </w:r>
      <w:r>
        <w:t xml:space="preserve">dentro de los 33 meses posteriores a la recepción de la primera inyección de </w:t>
      </w:r>
      <w:r w:rsidR="00313D5D">
        <w:t xml:space="preserve">este tipo de </w:t>
      </w:r>
      <w:r>
        <w:t>vacuna.</w:t>
      </w:r>
    </w:p>
    <w:p w14:paraId="2332B3C5" w14:textId="5DB60009" w:rsidR="00042C6C" w:rsidRDefault="00042C6C" w:rsidP="00042C6C">
      <w:pPr>
        <w:spacing w:after="0" w:line="240" w:lineRule="auto"/>
        <w:jc w:val="both"/>
      </w:pPr>
      <w:r>
        <w:t xml:space="preserve">Los participantes también habían </w:t>
      </w:r>
      <w:r w:rsidR="00313D5D">
        <w:t xml:space="preserve">sido inmunizados con </w:t>
      </w:r>
      <w:r>
        <w:t xml:space="preserve">vacuna </w:t>
      </w:r>
      <w:r w:rsidR="00313D5D">
        <w:t>anti</w:t>
      </w:r>
      <w:r>
        <w:t>grip</w:t>
      </w:r>
      <w:r w:rsidR="00313D5D">
        <w:t>al</w:t>
      </w:r>
      <w:r>
        <w:t xml:space="preserve"> dentro del año posterior a la obtención de sus muestras de médula ósea. </w:t>
      </w:r>
      <w:r w:rsidR="00313D5D">
        <w:t xml:space="preserve">También tenían vacunaciones previas </w:t>
      </w:r>
      <w:r>
        <w:t xml:space="preserve">contra el tétanos. </w:t>
      </w:r>
      <w:r w:rsidR="00313D5D">
        <w:t xml:space="preserve">Las muestras de MO fueron procesadas por </w:t>
      </w:r>
      <w:r>
        <w:t xml:space="preserve">citometría de flujo para separar las células inmunitarias </w:t>
      </w:r>
      <w:r w:rsidR="00313D5D">
        <w:t xml:space="preserve">de </w:t>
      </w:r>
      <w:r>
        <w:t>cada participante</w:t>
      </w:r>
      <w:r w:rsidR="00313D5D">
        <w:t xml:space="preserve"> (</w:t>
      </w:r>
      <w:r>
        <w:t>células secretoras de anticuerpos de vida corta y células plasmáticas de vida larga</w:t>
      </w:r>
      <w:r w:rsidR="00313D5D">
        <w:t>).</w:t>
      </w:r>
    </w:p>
    <w:p w14:paraId="6B2754A5" w14:textId="24AC2326" w:rsidR="00042C6C" w:rsidRDefault="00042C6C" w:rsidP="00042C6C">
      <w:pPr>
        <w:spacing w:after="0" w:line="240" w:lineRule="auto"/>
        <w:jc w:val="both"/>
      </w:pPr>
      <w:r>
        <w:t xml:space="preserve">Los </w:t>
      </w:r>
      <w:r w:rsidR="00313D5D">
        <w:t xml:space="preserve">estudios permitieron </w:t>
      </w:r>
      <w:r>
        <w:t xml:space="preserve">detectar fácilmente células plasmáticas de larga duración </w:t>
      </w:r>
      <w:r w:rsidR="00313D5D">
        <w:t>para e</w:t>
      </w:r>
      <w:r>
        <w:t xml:space="preserve">l tétanos y la gripe. Por el contrario, mientras que las células secretoras de anticuerpos de vida más corta </w:t>
      </w:r>
      <w:r w:rsidR="00313D5D">
        <w:t>anti-</w:t>
      </w:r>
      <w:r>
        <w:t xml:space="preserve">SARS-CoV-2 eran abundantes, las de larga duración estaban prácticamente ausentes. Incluso entre cinco participantes que habían tenido infecciones y vacunas recientes contra el SARS-CoV-2, </w:t>
      </w:r>
      <w:r w:rsidR="00313D5D">
        <w:t xml:space="preserve">estas </w:t>
      </w:r>
      <w:r>
        <w:t xml:space="preserve">células eran escasas en las muestras de </w:t>
      </w:r>
      <w:r w:rsidR="00313D5D">
        <w:t>MO</w:t>
      </w:r>
      <w:r>
        <w:t>.</w:t>
      </w:r>
    </w:p>
    <w:p w14:paraId="5EE7341A" w14:textId="121E777D" w:rsidR="00042C6C" w:rsidRDefault="00042C6C" w:rsidP="00042C6C">
      <w:pPr>
        <w:spacing w:after="0" w:line="240" w:lineRule="auto"/>
        <w:jc w:val="both"/>
      </w:pPr>
      <w:r>
        <w:t xml:space="preserve">Los hallazgos sugieren que las células secretoras de anticuerpos recién creadas contra el SARS-CoV-2 no pueden madurar por completo y ser duraderas una vez que llegan a la </w:t>
      </w:r>
      <w:r w:rsidR="00924EDD">
        <w:t>MO</w:t>
      </w:r>
      <w:r>
        <w:t xml:space="preserve"> y se asientan en ella. Por el contrario, las vacunas contra el tétanos y la gripe hacen que las células productoras de anticuerpos maduren </w:t>
      </w:r>
      <w:r w:rsidR="00924EDD">
        <w:t xml:space="preserve">en este sitio </w:t>
      </w:r>
      <w:r>
        <w:t xml:space="preserve">y se conviertan en células plasmáticas de larga duración. </w:t>
      </w:r>
    </w:p>
    <w:p w14:paraId="67D5F347" w14:textId="493286ED" w:rsidR="001A215E" w:rsidRDefault="00042C6C" w:rsidP="00042C6C">
      <w:pPr>
        <w:spacing w:after="0" w:line="240" w:lineRule="auto"/>
        <w:jc w:val="both"/>
      </w:pPr>
      <w:r>
        <w:t xml:space="preserve">Se necesitan más </w:t>
      </w:r>
      <w:r w:rsidR="00924EDD">
        <w:t xml:space="preserve">estudios </w:t>
      </w:r>
      <w:r>
        <w:t xml:space="preserve">para determinar si las vacunas </w:t>
      </w:r>
      <w:r w:rsidR="00924EDD">
        <w:t>reformuladas</w:t>
      </w:r>
      <w:r>
        <w:t xml:space="preserve"> los nuevos calendarios de administración u otros factores podrían </w:t>
      </w:r>
      <w:r w:rsidR="00924EDD">
        <w:t xml:space="preserve">llegar a </w:t>
      </w:r>
      <w:r>
        <w:t>brindar esa protección.</w:t>
      </w:r>
    </w:p>
    <w:p w14:paraId="7AB3F02B" w14:textId="77777777" w:rsidR="00042C6C" w:rsidRDefault="00042C6C" w:rsidP="00042C6C">
      <w:pPr>
        <w:spacing w:after="0" w:line="240" w:lineRule="auto"/>
        <w:jc w:val="both"/>
      </w:pPr>
    </w:p>
    <w:p w14:paraId="6E242A7B" w14:textId="61A58468" w:rsidR="00042C6C" w:rsidRPr="00583106" w:rsidRDefault="00042C6C" w:rsidP="00042C6C">
      <w:pPr>
        <w:spacing w:after="0" w:line="240" w:lineRule="auto"/>
        <w:jc w:val="both"/>
        <w:rPr>
          <w:b/>
          <w:bCs/>
        </w:rPr>
      </w:pPr>
      <w:r w:rsidRPr="00583106">
        <w:rPr>
          <w:b/>
          <w:bCs/>
        </w:rPr>
        <w:t xml:space="preserve">Referencias </w:t>
      </w:r>
    </w:p>
    <w:p w14:paraId="1420A5E7" w14:textId="41ADF5F4" w:rsidR="00042C6C" w:rsidRPr="00042C6C" w:rsidRDefault="00042C6C" w:rsidP="00042C6C">
      <w:pPr>
        <w:spacing w:after="0" w:line="240" w:lineRule="auto"/>
        <w:jc w:val="both"/>
        <w:rPr>
          <w:lang w:val="en-US"/>
        </w:rPr>
      </w:pPr>
      <w:r w:rsidRPr="00583106">
        <w:t xml:space="preserve">Nguyen DC, et al. </w:t>
      </w:r>
      <w:r w:rsidRPr="00042C6C">
        <w:rPr>
          <w:lang w:val="en-US"/>
        </w:rPr>
        <w:t>SARS-CoV-2-specific plasma cells are not durably established in the bone marrow long-lived compartment after mRNA vaccination. Nat Med</w:t>
      </w:r>
      <w:r w:rsidR="00A86796">
        <w:rPr>
          <w:lang w:val="en-US"/>
        </w:rPr>
        <w:t>.</w:t>
      </w:r>
      <w:r w:rsidRPr="00042C6C">
        <w:rPr>
          <w:lang w:val="en-US"/>
        </w:rPr>
        <w:t xml:space="preserve"> 2024 Sep 27. doi: 10.1038/s41591-024-03278-y</w:t>
      </w:r>
    </w:p>
    <w:sectPr w:rsidR="00042C6C" w:rsidRPr="00042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C"/>
    <w:rsid w:val="00042C6C"/>
    <w:rsid w:val="001A215E"/>
    <w:rsid w:val="00313D5D"/>
    <w:rsid w:val="00486155"/>
    <w:rsid w:val="00583106"/>
    <w:rsid w:val="006A4C2F"/>
    <w:rsid w:val="0081339D"/>
    <w:rsid w:val="008C2BD5"/>
    <w:rsid w:val="00924EDD"/>
    <w:rsid w:val="00A86796"/>
    <w:rsid w:val="00C00FA1"/>
    <w:rsid w:val="00D57AD9"/>
    <w:rsid w:val="00DF0EC7"/>
    <w:rsid w:val="00E6141E"/>
    <w:rsid w:val="00E93843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8FD0"/>
  <w15:chartTrackingRefBased/>
  <w15:docId w15:val="{9729E2EB-F1E4-4986-B454-836FEC3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2C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C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2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2C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2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2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2C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2C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2C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2C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2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2279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9</cp:revision>
  <dcterms:created xsi:type="dcterms:W3CDTF">2024-10-31T07:17:00Z</dcterms:created>
  <dcterms:modified xsi:type="dcterms:W3CDTF">2024-10-31T16:46:00Z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a66c201b-a600-4093-849f-2ff1e00ff33b</vt:lpwstr>
  </property>
</Properties>
</file>